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eastAsia="宋体" w:cs="宋体"/>
          <w:b/>
          <w:kern w:val="0"/>
          <w:sz w:val="48"/>
          <w:szCs w:val="48"/>
        </w:rPr>
      </w:pPr>
      <w:r>
        <w:rPr>
          <w:rFonts w:hint="eastAsia" w:ascii="宋体" w:hAnsi="宋体" w:eastAsia="宋体" w:cs="宋体"/>
          <w:b/>
          <w:kern w:val="0"/>
          <w:sz w:val="48"/>
          <w:szCs w:val="48"/>
        </w:rPr>
        <w:t>采购需求</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1、在采购活动开始前没有获准采购进口产品而开展采购活动的，视同为拒绝采购进口产品。</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2、根据“关于印发《政府采购进口产品管理办法》的通知”及“关于政府采购进口产品管理有关问题的通知”的相关规定：下列采购需求中如涉及进口产品则已履行相关论证手续。 </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3、中标人提供的货物为进口产品的，供货时须向采购人提供所投进口产品的海关报关单等证明材料。</w:t>
      </w:r>
    </w:p>
    <w:p>
      <w:pPr>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sz w:val="24"/>
          <w:szCs w:val="24"/>
        </w:rPr>
        <w:t>4、原装进口的产品，如国内产品满足需求也可参与采购竞争。</w:t>
      </w:r>
    </w:p>
    <w:p>
      <w:pPr>
        <w:numPr>
          <w:ilvl w:val="0"/>
          <w:numId w:val="1"/>
        </w:numPr>
        <w:spacing w:line="360" w:lineRule="auto"/>
        <w:rPr>
          <w:rFonts w:hint="eastAsia" w:ascii="宋体" w:hAnsi="宋体" w:eastAsia="宋体" w:cs="宋体"/>
          <w:b/>
          <w:sz w:val="24"/>
          <w:szCs w:val="24"/>
        </w:rPr>
      </w:pPr>
      <w:r>
        <w:rPr>
          <w:rFonts w:hint="eastAsia" w:ascii="宋体" w:hAnsi="宋体" w:eastAsia="宋体" w:cs="宋体"/>
          <w:b/>
          <w:sz w:val="24"/>
          <w:szCs w:val="24"/>
        </w:rPr>
        <w:t>采购清单</w:t>
      </w:r>
    </w:p>
    <w:tbl>
      <w:tblPr>
        <w:tblStyle w:val="6"/>
        <w:tblW w:w="5845" w:type="pct"/>
        <w:tblInd w:w="-8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473"/>
        <w:gridCol w:w="4059"/>
        <w:gridCol w:w="621"/>
        <w:gridCol w:w="664"/>
        <w:gridCol w:w="759"/>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trPr>
        <w:tc>
          <w:tcPr>
            <w:tcW w:w="315" w:type="pct"/>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b/>
                <w:bCs/>
                <w:color w:val="000000"/>
                <w:kern w:val="0"/>
                <w:sz w:val="22"/>
                <w:lang w:bidi="ar"/>
              </w:rPr>
              <w:t>序号</w:t>
            </w:r>
          </w:p>
        </w:tc>
        <w:tc>
          <w:tcPr>
            <w:tcW w:w="739" w:type="pct"/>
            <w:noWrap/>
            <w:vAlign w:val="center"/>
          </w:tcPr>
          <w:p>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物品名称</w:t>
            </w:r>
          </w:p>
        </w:tc>
        <w:tc>
          <w:tcPr>
            <w:tcW w:w="2036" w:type="pct"/>
            <w:noWrap/>
            <w:vAlign w:val="center"/>
          </w:tcPr>
          <w:p>
            <w:pPr>
              <w:jc w:val="center"/>
              <w:rPr>
                <w:rFonts w:hint="eastAsia" w:ascii="宋体" w:hAnsi="宋体" w:eastAsia="宋体" w:cs="宋体"/>
                <w:b/>
                <w:bCs/>
                <w:color w:val="000000"/>
                <w:sz w:val="22"/>
              </w:rPr>
            </w:pPr>
            <w:r>
              <w:rPr>
                <w:rFonts w:hint="eastAsia" w:ascii="宋体" w:hAnsi="宋体" w:eastAsia="宋体" w:cs="宋体"/>
                <w:b/>
                <w:bCs/>
                <w:color w:val="000000"/>
                <w:sz w:val="22"/>
              </w:rPr>
              <w:t>技术要求</w:t>
            </w:r>
          </w:p>
        </w:tc>
        <w:tc>
          <w:tcPr>
            <w:tcW w:w="312" w:type="pct"/>
            <w:noWrap/>
            <w:vAlign w:val="center"/>
          </w:tcPr>
          <w:p>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单位</w:t>
            </w:r>
          </w:p>
        </w:tc>
        <w:tc>
          <w:tcPr>
            <w:tcW w:w="333" w:type="pct"/>
            <w:noWrap/>
            <w:vAlign w:val="center"/>
          </w:tcPr>
          <w:p>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数量</w:t>
            </w:r>
          </w:p>
        </w:tc>
        <w:tc>
          <w:tcPr>
            <w:tcW w:w="381" w:type="pct"/>
            <w:noWrap/>
            <w:vAlign w:val="center"/>
          </w:tcPr>
          <w:p>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用途</w:t>
            </w:r>
          </w:p>
        </w:tc>
        <w:tc>
          <w:tcPr>
            <w:tcW w:w="881" w:type="pct"/>
            <w:noWrap/>
            <w:vAlign w:val="center"/>
          </w:tcPr>
          <w:p>
            <w:pPr>
              <w:widowControl/>
              <w:jc w:val="center"/>
              <w:textAlignment w:val="center"/>
              <w:rPr>
                <w:rFonts w:hint="eastAsia" w:ascii="宋体" w:hAnsi="宋体" w:eastAsia="宋体" w:cs="宋体"/>
                <w:b/>
                <w:bCs/>
                <w:color w:val="000000"/>
                <w:kern w:val="0"/>
                <w:sz w:val="22"/>
                <w:lang w:bidi="ar"/>
              </w:rPr>
            </w:pPr>
            <w:r>
              <w:rPr>
                <w:rFonts w:hint="eastAsia" w:ascii="宋体" w:hAnsi="宋体" w:eastAsia="宋体" w:cs="宋体"/>
                <w:b/>
                <w:bCs/>
                <w:color w:val="000000"/>
                <w:kern w:val="0"/>
                <w:sz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315" w:type="pct"/>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739" w:type="pct"/>
            <w:noWrap w:val="0"/>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60L电热水器</w:t>
            </w:r>
          </w:p>
        </w:tc>
        <w:tc>
          <w:tcPr>
            <w:tcW w:w="2036" w:type="pct"/>
            <w:noWrap w:val="0"/>
            <w:vAlign w:val="center"/>
          </w:tcPr>
          <w:p>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 xml:space="preserve">1、容量60L横式。 </w:t>
            </w:r>
          </w:p>
          <w:p>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 xml:space="preserve">2、二级能效或优于二级能效、单功率800W/1200W/2000W。 </w:t>
            </w:r>
          </w:p>
          <w:p>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 xml:space="preserve">3、防水等级IPX4，额定水压≧0.80Mpa，内胆具有抗爆、抗溶、抗酸性能。 </w:t>
            </w:r>
          </w:p>
          <w:p>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4、整机具有防干烧、防超温、防高水压、安全预警等装置</w:t>
            </w:r>
          </w:p>
          <w:p>
            <w:pPr>
              <w:widowControl/>
              <w:jc w:val="left"/>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5、配置花洒：</w:t>
            </w:r>
            <w:r>
              <w:rPr>
                <w:rFonts w:hint="eastAsia" w:ascii="宋体" w:hAnsi="宋体" w:eastAsia="宋体" w:cs="宋体"/>
              </w:rPr>
              <w:t>主体材质：304不锈钢</w:t>
            </w:r>
            <w:r>
              <w:rPr>
                <w:rFonts w:hint="eastAsia" w:ascii="宋体" w:hAnsi="宋体" w:eastAsia="宋体" w:cs="宋体"/>
                <w:lang w:val="en-US" w:eastAsia="zh-CN"/>
              </w:rPr>
              <w:t>，</w:t>
            </w:r>
            <w:r>
              <w:rPr>
                <w:rFonts w:hint="eastAsia" w:ascii="宋体" w:hAnsi="宋体" w:eastAsia="宋体" w:cs="宋体"/>
              </w:rPr>
              <w:t>表面处理：拉丝</w:t>
            </w:r>
            <w:r>
              <w:rPr>
                <w:rFonts w:hint="eastAsia" w:ascii="宋体" w:hAnsi="宋体" w:eastAsia="宋体" w:cs="宋体"/>
                <w:lang w:val="en-US" w:eastAsia="zh-CN"/>
              </w:rPr>
              <w:t>，</w:t>
            </w:r>
            <w:r>
              <w:rPr>
                <w:rFonts w:hint="eastAsia" w:ascii="宋体" w:hAnsi="宋体" w:eastAsia="宋体" w:cs="宋体"/>
              </w:rPr>
              <w:t>出水方式：雨淋出水</w:t>
            </w:r>
            <w:r>
              <w:rPr>
                <w:rFonts w:hint="eastAsia" w:ascii="宋体" w:hAnsi="宋体" w:eastAsia="宋体" w:cs="宋体"/>
                <w:lang w:eastAsia="zh-CN"/>
              </w:rPr>
              <w:t>，</w:t>
            </w:r>
            <w:r>
              <w:rPr>
                <w:rFonts w:hint="eastAsia" w:ascii="宋体" w:hAnsi="宋体" w:eastAsia="宋体" w:cs="宋体"/>
              </w:rPr>
              <w:t>具有增压可拆卸面板</w:t>
            </w:r>
            <w:r>
              <w:rPr>
                <w:rFonts w:hint="eastAsia" w:ascii="宋体" w:hAnsi="宋体" w:eastAsia="宋体" w:cs="宋体"/>
                <w:lang w:eastAsia="zh-CN"/>
              </w:rPr>
              <w:t>，</w:t>
            </w:r>
            <w:r>
              <w:rPr>
                <w:rFonts w:hint="eastAsia" w:ascii="宋体" w:hAnsi="宋体" w:eastAsia="宋体" w:cs="宋体"/>
              </w:rPr>
              <w:t>四分通用加厚接口</w:t>
            </w:r>
            <w:r>
              <w:rPr>
                <w:rFonts w:hint="eastAsia" w:ascii="宋体" w:hAnsi="宋体" w:eastAsia="宋体" w:cs="宋体"/>
                <w:lang w:eastAsia="zh-CN"/>
              </w:rPr>
              <w:t>，</w:t>
            </w:r>
            <w:r>
              <w:rPr>
                <w:rFonts w:hint="eastAsia" w:ascii="宋体" w:hAnsi="宋体" w:eastAsia="宋体" w:cs="宋体"/>
              </w:rPr>
              <w:t>配备1.5m不锈钢加密防爆软管</w:t>
            </w:r>
            <w:r>
              <w:rPr>
                <w:rFonts w:hint="eastAsia" w:ascii="宋体" w:hAnsi="宋体" w:eastAsia="宋体" w:cs="宋体"/>
                <w:lang w:eastAsia="zh-CN"/>
              </w:rPr>
              <w:t>，</w:t>
            </w:r>
            <w:r>
              <w:rPr>
                <w:rFonts w:hint="eastAsia" w:ascii="宋体" w:hAnsi="宋体" w:eastAsia="宋体" w:cs="宋体"/>
              </w:rPr>
              <w:t>最高温度60度</w:t>
            </w:r>
            <w:r>
              <w:rPr>
                <w:rFonts w:hint="eastAsia" w:ascii="宋体" w:hAnsi="宋体" w:eastAsia="宋体" w:cs="宋体"/>
                <w:lang w:eastAsia="zh-CN"/>
              </w:rPr>
              <w:t>，</w:t>
            </w:r>
            <w:r>
              <w:rPr>
                <w:rFonts w:hint="eastAsia" w:ascii="宋体" w:hAnsi="宋体" w:eastAsia="宋体" w:cs="宋体"/>
              </w:rPr>
              <w:t>长：22-24厘米，宽8-9.5厘米</w:t>
            </w:r>
          </w:p>
          <w:p>
            <w:pPr>
              <w:widowControl/>
              <w:jc w:val="left"/>
              <w:textAlignment w:val="center"/>
              <w:rPr>
                <w:rFonts w:hint="eastAsia" w:ascii="宋体" w:hAnsi="宋体" w:eastAsia="宋体" w:cs="宋体"/>
                <w:color w:val="000000"/>
                <w:kern w:val="0"/>
                <w:sz w:val="22"/>
                <w:lang w:bidi="ar"/>
              </w:rPr>
            </w:pPr>
          </w:p>
          <w:p>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防电墙安全技术：符合国家标准的防电墙安全技术。</w:t>
            </w:r>
          </w:p>
          <w:p>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投标时提供体现以上技术参数的原厂彩页证明资料</w:t>
            </w:r>
          </w:p>
          <w:p>
            <w:pPr>
              <w:pStyle w:val="9"/>
              <w:ind w:firstLine="0" w:firstLineChars="0"/>
              <w:rPr>
                <w:rFonts w:hint="eastAsia" w:ascii="宋体" w:hAnsi="宋体" w:eastAsia="宋体" w:cs="宋体"/>
                <w:lang w:val="en-US"/>
              </w:rPr>
            </w:pPr>
            <w:r>
              <w:rPr>
                <w:rFonts w:hint="eastAsia" w:ascii="宋体" w:hAnsi="宋体" w:eastAsia="宋体" w:cs="宋体"/>
                <w:b/>
                <w:bCs/>
                <w:color w:val="000000"/>
                <w:kern w:val="0"/>
                <w:sz w:val="22"/>
                <w:lang w:val="en-US" w:bidi="ar"/>
              </w:rPr>
              <w:t>质保期：3年</w:t>
            </w:r>
          </w:p>
        </w:tc>
        <w:tc>
          <w:tcPr>
            <w:tcW w:w="312" w:type="pct"/>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台</w:t>
            </w:r>
          </w:p>
        </w:tc>
        <w:tc>
          <w:tcPr>
            <w:tcW w:w="333" w:type="pct"/>
            <w:noWrap/>
            <w:vAlign w:val="center"/>
          </w:tcPr>
          <w:p>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4"/>
                <w:szCs w:val="24"/>
                <w:lang w:bidi="ar"/>
              </w:rPr>
              <w:t>207</w:t>
            </w:r>
          </w:p>
        </w:tc>
        <w:tc>
          <w:tcPr>
            <w:tcW w:w="381" w:type="pct"/>
            <w:noWrap w:val="0"/>
            <w:vAlign w:val="center"/>
          </w:tcPr>
          <w:p>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和平苑公寓每房间1台</w:t>
            </w:r>
          </w:p>
        </w:tc>
        <w:tc>
          <w:tcPr>
            <w:tcW w:w="881" w:type="pct"/>
            <w:vMerge w:val="restart"/>
            <w:noWrap w:val="0"/>
            <w:vAlign w:val="center"/>
          </w:tcPr>
          <w:p>
            <w:pPr>
              <w:pStyle w:val="5"/>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报价时应考虑空调及热水器安装时所需电源线材及施工安装，其投标报价应包含设备费、安装配件及辅材费、运输费、维保费、安装调试费、现场搬运费、税金等为完成本项目所发生的一切费用。其安装配件及辅材包括但不限于加长铜管、外机支架、电线线缆、空调及热水器插座、开关及开孔封堵（含墙面清理）等。</w:t>
            </w:r>
            <w:r>
              <w:rPr>
                <w:rFonts w:hint="eastAsia" w:ascii="宋体" w:hAnsi="宋体" w:eastAsia="宋体" w:cs="宋体"/>
              </w:rPr>
              <w:t>供货安装需符合相关安全规定，安全责任供货方自负。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15" w:type="pct"/>
            <w:noWrap/>
            <w:vAlign w:val="center"/>
          </w:tcPr>
          <w:p>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2</w:t>
            </w:r>
          </w:p>
        </w:tc>
        <w:tc>
          <w:tcPr>
            <w:tcW w:w="739" w:type="pct"/>
            <w:noWrap w:val="0"/>
            <w:vAlign w:val="center"/>
          </w:tcPr>
          <w:p>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1.5匹空调</w:t>
            </w:r>
          </w:p>
        </w:tc>
        <w:tc>
          <w:tcPr>
            <w:tcW w:w="2036" w:type="pct"/>
            <w:noWrap w:val="0"/>
            <w:vAlign w:val="center"/>
          </w:tcPr>
          <w:p>
            <w:pPr>
              <w:pStyle w:val="5"/>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1、冷暖型壁挂式空调；变频机；支持电辅加热；</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w:t>
            </w:r>
            <w:r>
              <w:rPr>
                <w:rFonts w:hint="eastAsia" w:ascii="宋体" w:hAnsi="宋体" w:eastAsia="宋体" w:cs="宋体"/>
              </w:rPr>
              <w:t>能效等级为3级或优于3级</w:t>
            </w:r>
            <w:r>
              <w:rPr>
                <w:rFonts w:hint="eastAsia" w:ascii="宋体" w:hAnsi="宋体" w:eastAsia="宋体" w:cs="宋体"/>
                <w:color w:val="000000"/>
                <w:kern w:val="0"/>
                <w:sz w:val="22"/>
                <w:lang w:bidi="ar"/>
              </w:rPr>
              <w:t>；</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3、制冷量≥3500W；</w:t>
            </w:r>
          </w:p>
          <w:p>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4、制热量≥4000W；</w:t>
            </w:r>
          </w:p>
          <w:p>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5、制冷功率≤1100W；</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6、制热功率≤1350W；</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7、电辅热≥1000W；</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8、循环风量≥650 m3/h；</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9、内机噪音≤45dB；</w:t>
            </w:r>
          </w:p>
          <w:p>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10、外机噪音≤52dB；</w:t>
            </w:r>
          </w:p>
          <w:p>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11、电源性能220KV/50HZ</w:t>
            </w:r>
          </w:p>
          <w:p>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12、标配遥控器及空调插头和插座。</w:t>
            </w:r>
          </w:p>
          <w:p>
            <w:pPr>
              <w:widowControl/>
              <w:jc w:val="left"/>
              <w:textAlignment w:val="center"/>
              <w:rPr>
                <w:rFonts w:hint="eastAsia" w:ascii="宋体" w:hAnsi="宋体" w:eastAsia="宋体" w:cs="宋体"/>
              </w:rPr>
            </w:pPr>
            <w:r>
              <w:rPr>
                <w:rFonts w:hint="eastAsia" w:ascii="宋体" w:hAnsi="宋体" w:eastAsia="宋体" w:cs="宋体"/>
                <w:color w:val="000000"/>
                <w:kern w:val="0"/>
                <w:sz w:val="22"/>
                <w:lang w:bidi="ar"/>
              </w:rPr>
              <w:t>投标时提供体现以上技术参数的原厂彩页证明资料</w:t>
            </w:r>
          </w:p>
          <w:p>
            <w:pPr>
              <w:pStyle w:val="9"/>
              <w:ind w:firstLine="0" w:firstLineChars="0"/>
              <w:rPr>
                <w:rFonts w:hint="eastAsia" w:ascii="宋体" w:hAnsi="宋体" w:eastAsia="宋体" w:cs="宋体"/>
                <w:lang w:val="en-US"/>
              </w:rPr>
            </w:pPr>
            <w:r>
              <w:rPr>
                <w:rFonts w:hint="eastAsia" w:ascii="宋体" w:hAnsi="宋体" w:eastAsia="宋体" w:cs="宋体"/>
                <w:b/>
                <w:bCs/>
                <w:color w:val="000000"/>
                <w:kern w:val="0"/>
                <w:sz w:val="22"/>
                <w:lang w:val="en-US" w:bidi="ar"/>
              </w:rPr>
              <w:t>质保期6年</w:t>
            </w:r>
          </w:p>
        </w:tc>
        <w:tc>
          <w:tcPr>
            <w:tcW w:w="312" w:type="pct"/>
            <w:noWrap/>
            <w:vAlign w:val="center"/>
          </w:tcPr>
          <w:p>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台</w:t>
            </w:r>
          </w:p>
        </w:tc>
        <w:tc>
          <w:tcPr>
            <w:tcW w:w="333" w:type="pct"/>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819</w:t>
            </w:r>
          </w:p>
        </w:tc>
        <w:tc>
          <w:tcPr>
            <w:tcW w:w="381" w:type="pct"/>
            <w:noWrap w:val="0"/>
            <w:vAlign w:val="center"/>
          </w:tcPr>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2"/>
                <w:lang w:bidi="ar"/>
              </w:rPr>
              <w:t>职工之家612台，和平苑207台</w:t>
            </w:r>
          </w:p>
        </w:tc>
        <w:tc>
          <w:tcPr>
            <w:tcW w:w="881" w:type="pct"/>
            <w:vMerge w:val="continue"/>
            <w:noWrap w:val="0"/>
            <w:vAlign w:val="center"/>
          </w:tcPr>
          <w:p>
            <w:pPr>
              <w:widowControl/>
              <w:jc w:val="left"/>
              <w:textAlignment w:val="center"/>
              <w:rPr>
                <w:rFonts w:hint="eastAsia" w:ascii="宋体" w:hAnsi="宋体" w:eastAsia="宋体" w:cs="宋体"/>
                <w:color w:val="000000"/>
                <w:kern w:val="0"/>
                <w:sz w:val="22"/>
                <w:lang w:bidi="ar"/>
              </w:rPr>
            </w:pPr>
          </w:p>
        </w:tc>
      </w:tr>
    </w:tbl>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说明：</w:t>
      </w:r>
    </w:p>
    <w:p>
      <w:pPr>
        <w:pStyle w:val="2"/>
        <w:spacing w:after="0" w:line="360" w:lineRule="auto"/>
        <w:ind w:left="0" w:leftChars="0" w:firstLine="482"/>
        <w:rPr>
          <w:rFonts w:hint="eastAsia" w:ascii="宋体" w:hAnsi="宋体" w:eastAsia="宋体" w:cs="宋体"/>
          <w:b/>
          <w:bCs/>
          <w:sz w:val="24"/>
        </w:rPr>
      </w:pPr>
      <w:r>
        <w:rPr>
          <w:rFonts w:hint="eastAsia" w:ascii="宋体" w:hAnsi="宋体" w:eastAsia="宋体" w:cs="宋体"/>
          <w:b/>
          <w:bCs/>
          <w:sz w:val="24"/>
        </w:rPr>
        <w:t>1、投标人的投标文件必须标明所投货物的品牌与参数，保证原厂正品供货，提供相关证明资料复印件加盖投标人公章。</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投标人要充分考虑到实际安装内容与采购清单中数量和种类存在差异的风险，这部分的风险视为投标人在投标报价时已充分考虑到，对采购清单中少项和漏项内容投标人必须自行添补直至达到系统完整性要求和验收标准。</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rPr>
        <w:t>3</w:t>
      </w:r>
      <w:r>
        <w:rPr>
          <w:rFonts w:hint="eastAsia" w:ascii="宋体" w:hAnsi="宋体" w:eastAsia="宋体" w:cs="宋体"/>
          <w:b/>
          <w:bCs/>
          <w:sz w:val="24"/>
          <w:szCs w:val="24"/>
        </w:rPr>
        <w:t>、核心产品为：1.5匹空调。</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、采购清单中要求提供的样品（如有），由投标人应于开标前带至开标地点，并做好标记，便于识别和分辨。未提供样品的，则</w:t>
      </w:r>
      <w:r>
        <w:rPr>
          <w:rFonts w:hint="eastAsia" w:ascii="宋体" w:hAnsi="宋体" w:eastAsia="宋体" w:cs="宋体"/>
          <w:b/>
          <w:bCs/>
          <w:sz w:val="24"/>
          <w:szCs w:val="24"/>
          <w:lang w:eastAsia="zh-CN"/>
        </w:rPr>
        <w:t>投标</w:t>
      </w:r>
      <w:r>
        <w:rPr>
          <w:rFonts w:hint="eastAsia" w:ascii="宋体" w:hAnsi="宋体" w:eastAsia="宋体" w:cs="宋体"/>
          <w:b/>
          <w:bCs/>
          <w:sz w:val="24"/>
          <w:szCs w:val="24"/>
        </w:rPr>
        <w:t>文件不予接收。</w:t>
      </w:r>
      <w:r>
        <w:rPr>
          <w:rFonts w:hint="eastAsia" w:ascii="宋体" w:hAnsi="宋体" w:eastAsia="宋体" w:cs="宋体"/>
          <w:b/>
          <w:bCs/>
          <w:sz w:val="24"/>
          <w:szCs w:val="24"/>
          <w:lang w:eastAsia="zh-CN"/>
        </w:rPr>
        <w:t>中标</w:t>
      </w:r>
      <w:r>
        <w:rPr>
          <w:rFonts w:hint="eastAsia" w:ascii="宋体" w:hAnsi="宋体" w:eastAsia="宋体" w:cs="宋体"/>
          <w:b/>
          <w:bCs/>
          <w:sz w:val="24"/>
          <w:szCs w:val="24"/>
        </w:rPr>
        <w:t>人的样品由采购人封存保留，作为后期供货的质量标准依据。未</w:t>
      </w:r>
      <w:r>
        <w:rPr>
          <w:rFonts w:hint="eastAsia" w:ascii="宋体" w:hAnsi="宋体" w:eastAsia="宋体" w:cs="宋体"/>
          <w:b/>
          <w:bCs/>
          <w:sz w:val="24"/>
          <w:szCs w:val="24"/>
          <w:lang w:eastAsia="zh-CN"/>
        </w:rPr>
        <w:t>中标投标</w:t>
      </w:r>
      <w:r>
        <w:rPr>
          <w:rFonts w:hint="eastAsia" w:ascii="宋体" w:hAnsi="宋体" w:eastAsia="宋体" w:cs="宋体"/>
          <w:b/>
          <w:bCs/>
          <w:sz w:val="24"/>
          <w:szCs w:val="24"/>
        </w:rPr>
        <w:t>人的样品在</w:t>
      </w:r>
      <w:r>
        <w:rPr>
          <w:rFonts w:hint="eastAsia" w:ascii="宋体" w:hAnsi="宋体" w:eastAsia="宋体" w:cs="宋体"/>
          <w:b/>
          <w:bCs/>
          <w:sz w:val="24"/>
          <w:szCs w:val="24"/>
          <w:lang w:eastAsia="zh-CN"/>
        </w:rPr>
        <w:t>招标活动</w:t>
      </w:r>
      <w:r>
        <w:rPr>
          <w:rFonts w:hint="eastAsia" w:ascii="宋体" w:hAnsi="宋体" w:eastAsia="宋体" w:cs="宋体"/>
          <w:b/>
          <w:bCs/>
          <w:sz w:val="24"/>
          <w:szCs w:val="24"/>
        </w:rPr>
        <w:t>结束后自行退回。样品费用由</w:t>
      </w:r>
      <w:r>
        <w:rPr>
          <w:rFonts w:hint="eastAsia" w:ascii="宋体" w:hAnsi="宋体" w:eastAsia="宋体" w:cs="宋体"/>
          <w:b/>
          <w:bCs/>
          <w:sz w:val="24"/>
          <w:szCs w:val="24"/>
          <w:lang w:eastAsia="zh-CN"/>
        </w:rPr>
        <w:t>投标</w:t>
      </w:r>
      <w:r>
        <w:rPr>
          <w:rFonts w:hint="eastAsia" w:ascii="宋体" w:hAnsi="宋体" w:eastAsia="宋体" w:cs="宋体"/>
          <w:b/>
          <w:bCs/>
          <w:sz w:val="24"/>
          <w:szCs w:val="24"/>
        </w:rPr>
        <w:t>自行承担。</w:t>
      </w:r>
    </w:p>
    <w:p>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二、安装验收要求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1、安装调试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货物安装在采购人指定地点，供货时间：分批次供货，合同签订后采购人确定第一批货物的供货量后20日历天内完成第一批次的货物供货及安装，其他批次供货时间需满足采购人要求。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2、验收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货物安装调试完毕经采购人验收合格后出具验收报告，货物投入使用。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验收依据合同、招标文件、中标供应商投标文件和国家有关标准进行，必要时使用测试专业仪器。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3、技术资料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验收前，中标供应商应将全部货物资料装订成册，交采购人进行保管。</w:t>
      </w:r>
    </w:p>
    <w:p>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三、人员培训要求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货物安装、调试、验收合格后，中标人应对采购单位的相关人员进行免费现场培训。培训内容包括基本操作、保养维修、常见故障及解决办法等。</w:t>
      </w:r>
      <w:bookmarkStart w:id="0" w:name="_Toc375064008"/>
    </w:p>
    <w:p>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四、货物质量及售后服务要求</w:t>
      </w:r>
      <w:bookmarkEnd w:id="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1、货物质量：中标人提供的货物必须是品牌范围内、全新、原装、合格正品，完全符合国家规定的质量标准、厂方的标准以及采购人的采购需求。货物完好，配件齐全。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2、质量保证期限：投标人需提供免费质保期壹年，采购清单中的免费质保期超过壹年的按采购清单中的要求执行，质保期及服务期自供货安装完毕、验收合格经双方签字之日起计算。</w:t>
      </w:r>
    </w:p>
    <w:p>
      <w:pPr>
        <w:spacing w:line="360" w:lineRule="auto"/>
        <w:ind w:firstLine="480" w:firstLineChars="200"/>
        <w:rPr>
          <w:rStyle w:val="8"/>
          <w:rFonts w:hint="eastAsia" w:ascii="宋体" w:hAnsi="宋体" w:eastAsia="宋体" w:cs="宋体"/>
          <w:highlight w:val="none"/>
        </w:rPr>
      </w:pPr>
      <w:r>
        <w:rPr>
          <w:rFonts w:hint="eastAsia" w:ascii="宋体" w:hAnsi="宋体" w:eastAsia="宋体" w:cs="宋体"/>
          <w:sz w:val="24"/>
          <w:szCs w:val="24"/>
        </w:rPr>
        <w:t>3、质保期内，需提供7*24小时的免费电话咨询服务支持，对于用户的售后服务请求须在12小时内上门服务；在质保期内因设备重大质量原因而需要更换或维修的，须在48小时内完</w:t>
      </w:r>
      <w:r>
        <w:rPr>
          <w:rFonts w:hint="eastAsia" w:ascii="宋体" w:hAnsi="宋体" w:eastAsia="宋体" w:cs="宋体"/>
          <w:sz w:val="24"/>
          <w:szCs w:val="24"/>
          <w:highlight w:val="none"/>
        </w:rPr>
        <w:t>成，以保证设备的正常运行。在设备免费质保期内，因设备制造原因出现的任何质量问题，中标单位应负责更换或维修，由此产生的一切费用由供应商承担。若在约定时间内无人上门解决问题，逾期采购人有权请第三方专业维修人员进行维修，相关费用将从质保金中扣除，并扣除当年应返还的全部质保金，如通过维修仍无法正常使用，采购人有权退货或要求更换。</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968CE4"/>
    <w:multiLevelType w:val="singleLevel"/>
    <w:tmpl w:val="EF968C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E1426"/>
    <w:rsid w:val="19FE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sz w:val="21"/>
      <w:szCs w:val="24"/>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5">
    <w:name w:val="annotation text"/>
    <w:basedOn w:val="1"/>
    <w:unhideWhenUsed/>
    <w:uiPriority w:val="99"/>
    <w:pPr>
      <w:jc w:val="left"/>
    </w:pPr>
  </w:style>
  <w:style w:type="character" w:styleId="8">
    <w:name w:val="annotation reference"/>
    <w:unhideWhenUsed/>
    <w:qFormat/>
    <w:uiPriority w:val="99"/>
    <w:rPr>
      <w:sz w:val="21"/>
      <w:szCs w:val="21"/>
    </w:rPr>
  </w:style>
  <w:style w:type="paragraph" w:customStyle="1" w:styleId="9">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2021-11-19T00:31:00Z</dcterms:created>
  <dc:creator>Administrator</dc:creator>
  <cp:lastModifiedBy>Administrator</cp:lastModifiedBy>
  <dcterms:modified xsi:type="dcterms:W3CDTF">2021-11-19T00:31:43Z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