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kern w:val="0"/>
          <w:sz w:val="48"/>
          <w:szCs w:val="48"/>
          <w:highlight w:val="none"/>
        </w:rPr>
      </w:pPr>
      <w:r>
        <w:rPr>
          <w:rFonts w:hint="eastAsia" w:ascii="宋体" w:hAnsi="宋体" w:eastAsia="宋体" w:cs="宋体"/>
          <w:b/>
          <w:kern w:val="0"/>
          <w:sz w:val="48"/>
          <w:szCs w:val="48"/>
          <w:highlight w:val="none"/>
        </w:rPr>
        <w:t>采购需求</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1、在采购活动开始前没有获准采购进口产品而开展采购活动的，视同为拒绝采购进口产品。</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2、根据“关于印发《政府采购进口产品管理办法》的通知”及“关于政府采购进口产品管理有关问题的通知”的相关规定：下列采购需求中如涉及进口产品则已履行相关论证手续。 </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3、中标人提供的货物为进口产品的，供货时须向采购人提供所投进口产品的海关报关单等证明材料。</w:t>
      </w:r>
    </w:p>
    <w:p>
      <w:pPr>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sz w:val="24"/>
          <w:szCs w:val="24"/>
          <w:highlight w:val="none"/>
        </w:rPr>
        <w:t>4、原装进口的产品，如国内产品满足需求也可参与采购竞争。</w:t>
      </w:r>
    </w:p>
    <w:p>
      <w:pPr>
        <w:numPr>
          <w:ilvl w:val="0"/>
          <w:numId w:val="1"/>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采购清单</w:t>
      </w:r>
      <w:bookmarkStart w:id="0" w:name="_Toc481247036"/>
      <w:bookmarkStart w:id="1" w:name="_Toc481247033"/>
    </w:p>
    <w:tbl>
      <w:tblPr>
        <w:tblStyle w:val="7"/>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73"/>
        <w:gridCol w:w="4059"/>
        <w:gridCol w:w="621"/>
        <w:gridCol w:w="664"/>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28" w:type="pct"/>
            <w:noWrap/>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b/>
                <w:bCs/>
                <w:color w:val="000000"/>
                <w:kern w:val="0"/>
                <w:sz w:val="22"/>
                <w:highlight w:val="none"/>
                <w:lang w:bidi="ar"/>
              </w:rPr>
              <w:t>序号</w:t>
            </w:r>
          </w:p>
        </w:tc>
        <w:tc>
          <w:tcPr>
            <w:tcW w:w="769" w:type="pct"/>
            <w:noWrap/>
            <w:vAlign w:val="center"/>
          </w:tcPr>
          <w:p>
            <w:pPr>
              <w:widowControl/>
              <w:jc w:val="center"/>
              <w:textAlignment w:val="center"/>
              <w:rPr>
                <w:rFonts w:hint="eastAsia"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物品名称</w:t>
            </w:r>
          </w:p>
        </w:tc>
        <w:tc>
          <w:tcPr>
            <w:tcW w:w="2119" w:type="pct"/>
            <w:noWrap/>
            <w:vAlign w:val="center"/>
          </w:tcPr>
          <w:p>
            <w:pPr>
              <w:jc w:val="center"/>
              <w:rPr>
                <w:rFonts w:hint="eastAsia" w:ascii="宋体" w:hAnsi="宋体" w:eastAsia="宋体" w:cs="宋体"/>
                <w:b/>
                <w:bCs/>
                <w:color w:val="000000"/>
                <w:sz w:val="22"/>
                <w:highlight w:val="none"/>
              </w:rPr>
            </w:pPr>
            <w:r>
              <w:rPr>
                <w:rFonts w:hint="eastAsia" w:ascii="宋体" w:hAnsi="宋体" w:eastAsia="宋体" w:cs="宋体"/>
                <w:b/>
                <w:bCs/>
                <w:color w:val="000000"/>
                <w:sz w:val="22"/>
                <w:highlight w:val="none"/>
              </w:rPr>
              <w:t>技术要求</w:t>
            </w:r>
          </w:p>
        </w:tc>
        <w:tc>
          <w:tcPr>
            <w:tcW w:w="324" w:type="pct"/>
            <w:noWrap/>
            <w:vAlign w:val="center"/>
          </w:tcPr>
          <w:p>
            <w:pPr>
              <w:widowControl/>
              <w:jc w:val="center"/>
              <w:textAlignment w:val="center"/>
              <w:rPr>
                <w:rFonts w:hint="eastAsia"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单位</w:t>
            </w:r>
          </w:p>
        </w:tc>
        <w:tc>
          <w:tcPr>
            <w:tcW w:w="346" w:type="pct"/>
            <w:noWrap/>
            <w:vAlign w:val="center"/>
          </w:tcPr>
          <w:p>
            <w:pPr>
              <w:widowControl/>
              <w:jc w:val="center"/>
              <w:textAlignment w:val="center"/>
              <w:rPr>
                <w:rFonts w:hint="eastAsia" w:ascii="宋体" w:hAnsi="宋体" w:eastAsia="宋体" w:cs="宋体"/>
                <w:b/>
                <w:bCs/>
                <w:color w:val="000000"/>
                <w:sz w:val="22"/>
                <w:highlight w:val="none"/>
              </w:rPr>
            </w:pPr>
            <w:r>
              <w:rPr>
                <w:rFonts w:hint="eastAsia" w:ascii="宋体" w:hAnsi="宋体" w:eastAsia="宋体" w:cs="宋体"/>
                <w:b/>
                <w:bCs/>
                <w:color w:val="000000"/>
                <w:kern w:val="0"/>
                <w:sz w:val="22"/>
                <w:highlight w:val="none"/>
                <w:lang w:bidi="ar"/>
              </w:rPr>
              <w:t>数量</w:t>
            </w:r>
          </w:p>
        </w:tc>
        <w:tc>
          <w:tcPr>
            <w:tcW w:w="1111" w:type="pct"/>
            <w:noWrap/>
            <w:vAlign w:val="center"/>
          </w:tcPr>
          <w:p>
            <w:pPr>
              <w:widowControl/>
              <w:jc w:val="center"/>
              <w:textAlignment w:val="center"/>
              <w:rPr>
                <w:rFonts w:hint="eastAsia" w:ascii="宋体" w:hAnsi="宋体" w:eastAsia="宋体" w:cs="宋体"/>
                <w:b/>
                <w:bCs/>
                <w:color w:val="000000"/>
                <w:kern w:val="0"/>
                <w:sz w:val="22"/>
                <w:highlight w:val="none"/>
                <w:lang w:eastAsia="zh-CN" w:bidi="ar"/>
              </w:rPr>
            </w:pPr>
            <w:r>
              <w:rPr>
                <w:rFonts w:hint="eastAsia" w:ascii="宋体" w:hAnsi="宋体" w:eastAsia="宋体" w:cs="宋体"/>
                <w:b/>
                <w:bCs/>
                <w:color w:val="000000"/>
                <w:kern w:val="0"/>
                <w:sz w:val="22"/>
                <w:highlight w:val="none"/>
                <w:lang w:eastAsia="zh-CN" w:bidi="ar"/>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328" w:type="pct"/>
            <w:noWrap/>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1</w:t>
            </w:r>
          </w:p>
        </w:tc>
        <w:tc>
          <w:tcPr>
            <w:tcW w:w="769" w:type="pct"/>
            <w:noWrap w:val="0"/>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60L电热水器</w:t>
            </w:r>
          </w:p>
        </w:tc>
        <w:tc>
          <w:tcPr>
            <w:tcW w:w="2119" w:type="pct"/>
            <w:noWrap w:val="0"/>
            <w:vAlign w:val="center"/>
          </w:tcPr>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 xml:space="preserve">1、容量60L横式。 </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 xml:space="preserve">2、二级能效或优于二级能效、单功率800W/1200W/2000W。 </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 xml:space="preserve">3、防水等级IPX4，额定水压≧0.80Mpa，内胆具有抗爆、抗溶、抗酸性能。 </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4、整机具有防干烧、防超温、防高水压、安全预警等装置</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val="en-US" w:eastAsia="zh-CN" w:bidi="ar"/>
              </w:rPr>
              <w:t>5、配置花洒：</w:t>
            </w:r>
            <w:r>
              <w:rPr>
                <w:rFonts w:hint="eastAsia" w:ascii="宋体" w:hAnsi="宋体" w:eastAsia="宋体" w:cs="宋体"/>
                <w:highlight w:val="none"/>
              </w:rPr>
              <w:t>主体材质：304不锈钢</w:t>
            </w:r>
            <w:r>
              <w:rPr>
                <w:rFonts w:hint="eastAsia" w:ascii="宋体" w:hAnsi="宋体" w:eastAsia="宋体" w:cs="宋体"/>
                <w:highlight w:val="none"/>
                <w:lang w:val="en-US" w:eastAsia="zh-CN"/>
              </w:rPr>
              <w:t>，</w:t>
            </w:r>
            <w:r>
              <w:rPr>
                <w:rFonts w:hint="eastAsia" w:ascii="宋体" w:hAnsi="宋体" w:eastAsia="宋体" w:cs="宋体"/>
                <w:highlight w:val="none"/>
              </w:rPr>
              <w:t>表面处理：拉丝</w:t>
            </w:r>
            <w:r>
              <w:rPr>
                <w:rFonts w:hint="eastAsia" w:ascii="宋体" w:hAnsi="宋体" w:eastAsia="宋体" w:cs="宋体"/>
                <w:highlight w:val="none"/>
                <w:lang w:val="en-US" w:eastAsia="zh-CN"/>
              </w:rPr>
              <w:t>，</w:t>
            </w:r>
            <w:r>
              <w:rPr>
                <w:rFonts w:hint="eastAsia" w:ascii="宋体" w:hAnsi="宋体" w:eastAsia="宋体" w:cs="宋体"/>
                <w:highlight w:val="none"/>
              </w:rPr>
              <w:t>出水方式：雨淋出水</w:t>
            </w:r>
            <w:r>
              <w:rPr>
                <w:rFonts w:hint="eastAsia" w:ascii="宋体" w:hAnsi="宋体" w:eastAsia="宋体" w:cs="宋体"/>
                <w:highlight w:val="none"/>
                <w:lang w:eastAsia="zh-CN"/>
              </w:rPr>
              <w:t>，</w:t>
            </w:r>
            <w:r>
              <w:rPr>
                <w:rFonts w:hint="eastAsia" w:ascii="宋体" w:hAnsi="宋体" w:eastAsia="宋体" w:cs="宋体"/>
                <w:highlight w:val="none"/>
              </w:rPr>
              <w:t>具有增压可拆卸面板</w:t>
            </w:r>
            <w:r>
              <w:rPr>
                <w:rFonts w:hint="eastAsia" w:ascii="宋体" w:hAnsi="宋体" w:eastAsia="宋体" w:cs="宋体"/>
                <w:highlight w:val="none"/>
                <w:lang w:eastAsia="zh-CN"/>
              </w:rPr>
              <w:t>，</w:t>
            </w:r>
            <w:r>
              <w:rPr>
                <w:rFonts w:hint="eastAsia" w:ascii="宋体" w:hAnsi="宋体" w:eastAsia="宋体" w:cs="宋体"/>
                <w:highlight w:val="none"/>
              </w:rPr>
              <w:t>四分通用加厚接口</w:t>
            </w:r>
            <w:r>
              <w:rPr>
                <w:rFonts w:hint="eastAsia" w:ascii="宋体" w:hAnsi="宋体" w:eastAsia="宋体" w:cs="宋体"/>
                <w:highlight w:val="none"/>
                <w:lang w:eastAsia="zh-CN"/>
              </w:rPr>
              <w:t>，</w:t>
            </w:r>
            <w:r>
              <w:rPr>
                <w:rFonts w:hint="eastAsia" w:ascii="宋体" w:hAnsi="宋体" w:eastAsia="宋体" w:cs="宋体"/>
                <w:highlight w:val="none"/>
              </w:rPr>
              <w:t>配备1.5m不锈钢加密防爆软管</w:t>
            </w:r>
            <w:r>
              <w:rPr>
                <w:rFonts w:hint="eastAsia" w:ascii="宋体" w:hAnsi="宋体" w:eastAsia="宋体" w:cs="宋体"/>
                <w:highlight w:val="none"/>
                <w:lang w:eastAsia="zh-CN"/>
              </w:rPr>
              <w:t>，</w:t>
            </w:r>
            <w:r>
              <w:rPr>
                <w:rFonts w:hint="eastAsia" w:ascii="宋体" w:hAnsi="宋体" w:eastAsia="宋体" w:cs="宋体"/>
                <w:highlight w:val="none"/>
              </w:rPr>
              <w:t>最高温度60度</w:t>
            </w:r>
            <w:r>
              <w:rPr>
                <w:rFonts w:hint="eastAsia" w:ascii="宋体" w:hAnsi="宋体" w:eastAsia="宋体" w:cs="宋体"/>
                <w:highlight w:val="none"/>
                <w:lang w:eastAsia="zh-CN"/>
              </w:rPr>
              <w:t>，</w:t>
            </w:r>
            <w:r>
              <w:rPr>
                <w:rFonts w:hint="eastAsia" w:ascii="宋体" w:hAnsi="宋体" w:eastAsia="宋体" w:cs="宋体"/>
                <w:highlight w:val="none"/>
              </w:rPr>
              <w:t>长：22-24厘米，宽8-9.5厘米</w:t>
            </w:r>
          </w:p>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防电墙安全技术：符合国家标准的防电墙安全技术。</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辅材：含配套三角阀、90 度弯头、弯活接、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直活接、铜角阀、等径三通、混水阀组件、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PPR 管、支架、704 硅胶、生胶带等其他满足热水器正常使用的辅材。</w:t>
            </w:r>
          </w:p>
          <w:p>
            <w:pPr>
              <w:pStyle w:val="10"/>
              <w:ind w:firstLine="0" w:firstLineChars="0"/>
              <w:rPr>
                <w:rFonts w:hint="eastAsia" w:ascii="宋体" w:hAnsi="宋体" w:eastAsia="宋体" w:cs="宋体"/>
                <w:highlight w:val="none"/>
                <w:lang w:val="en-US"/>
              </w:rPr>
            </w:pPr>
            <w:r>
              <w:rPr>
                <w:rFonts w:hint="eastAsia" w:ascii="宋体" w:hAnsi="宋体" w:eastAsia="宋体" w:cs="宋体"/>
                <w:b/>
                <w:bCs/>
                <w:color w:val="000000"/>
                <w:kern w:val="0"/>
                <w:sz w:val="22"/>
                <w:highlight w:val="none"/>
                <w:lang w:val="en-US" w:bidi="ar"/>
              </w:rPr>
              <w:t>质保期：3年</w:t>
            </w:r>
          </w:p>
        </w:tc>
        <w:tc>
          <w:tcPr>
            <w:tcW w:w="324" w:type="pct"/>
            <w:noWrap/>
            <w:vAlign w:val="center"/>
          </w:tcPr>
          <w:p>
            <w:pPr>
              <w:widowControl/>
              <w:jc w:val="center"/>
              <w:textAlignment w:val="center"/>
              <w:rPr>
                <w:rFonts w:hint="eastAsia" w:ascii="宋体" w:hAnsi="宋体" w:eastAsia="宋体" w:cs="宋体"/>
                <w:color w:val="000000"/>
                <w:sz w:val="22"/>
                <w:highlight w:val="none"/>
              </w:rPr>
            </w:pPr>
            <w:r>
              <w:rPr>
                <w:rFonts w:hint="eastAsia" w:ascii="宋体" w:hAnsi="宋体" w:eastAsia="宋体" w:cs="宋体"/>
                <w:color w:val="000000"/>
                <w:kern w:val="0"/>
                <w:sz w:val="22"/>
                <w:highlight w:val="none"/>
                <w:lang w:bidi="ar"/>
              </w:rPr>
              <w:t>台</w:t>
            </w:r>
          </w:p>
        </w:tc>
        <w:tc>
          <w:tcPr>
            <w:tcW w:w="346" w:type="pct"/>
            <w:noWrap/>
            <w:vAlign w:val="center"/>
          </w:tcPr>
          <w:p>
            <w:pPr>
              <w:widowControl/>
              <w:jc w:val="center"/>
              <w:textAlignment w:val="center"/>
              <w:rPr>
                <w:rFonts w:hint="default" w:ascii="宋体" w:hAnsi="宋体" w:eastAsia="宋体" w:cs="宋体"/>
                <w:color w:val="000000"/>
                <w:sz w:val="22"/>
                <w:highlight w:val="none"/>
                <w:lang w:val="en-US" w:eastAsia="zh-CN"/>
              </w:rPr>
            </w:pPr>
            <w:r>
              <w:rPr>
                <w:rFonts w:hint="eastAsia" w:ascii="宋体" w:hAnsi="宋体" w:eastAsia="宋体" w:cs="宋体"/>
                <w:color w:val="000000"/>
                <w:kern w:val="0"/>
                <w:sz w:val="24"/>
                <w:szCs w:val="24"/>
                <w:highlight w:val="none"/>
                <w:lang w:val="en-US" w:eastAsia="zh-CN" w:bidi="ar"/>
              </w:rPr>
              <w:t>346</w:t>
            </w:r>
          </w:p>
        </w:tc>
        <w:tc>
          <w:tcPr>
            <w:tcW w:w="1111" w:type="pct"/>
            <w:noWrap w:val="0"/>
            <w:vAlign w:val="center"/>
          </w:tcPr>
          <w:p>
            <w:pPr>
              <w:pStyle w:val="6"/>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海尔、万和、万家乐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28" w:type="pct"/>
            <w:noWrap/>
            <w:vAlign w:val="center"/>
          </w:tcPr>
          <w:p>
            <w:pPr>
              <w:widowControl/>
              <w:jc w:val="center"/>
              <w:textAlignment w:val="center"/>
              <w:rPr>
                <w:rFonts w:hint="eastAsia" w:ascii="宋体" w:hAnsi="宋体" w:eastAsia="宋体" w:cs="宋体"/>
                <w:color w:val="000000"/>
                <w:kern w:val="0"/>
                <w:sz w:val="22"/>
                <w:highlight w:val="none"/>
                <w:lang w:bidi="ar"/>
              </w:rPr>
            </w:pPr>
            <w:r>
              <w:rPr>
                <w:rFonts w:hint="eastAsia" w:ascii="宋体" w:hAnsi="宋体" w:eastAsia="宋体" w:cs="宋体"/>
                <w:color w:val="000000"/>
                <w:kern w:val="0"/>
                <w:sz w:val="22"/>
                <w:highlight w:val="none"/>
                <w:lang w:bidi="ar"/>
              </w:rPr>
              <w:t>2</w:t>
            </w:r>
          </w:p>
        </w:tc>
        <w:tc>
          <w:tcPr>
            <w:tcW w:w="769" w:type="pct"/>
            <w:noWrap w:val="0"/>
            <w:vAlign w:val="center"/>
          </w:tcPr>
          <w:p>
            <w:pPr>
              <w:widowControl/>
              <w:jc w:val="center"/>
              <w:textAlignment w:val="center"/>
              <w:rPr>
                <w:rFonts w:hint="eastAsia" w:ascii="宋体" w:hAnsi="宋体" w:eastAsia="宋体" w:cs="宋体"/>
                <w:color w:val="000000"/>
                <w:kern w:val="0"/>
                <w:sz w:val="22"/>
                <w:highlight w:val="none"/>
                <w:lang w:val="en-US" w:eastAsia="zh-CN" w:bidi="ar"/>
              </w:rPr>
            </w:pPr>
            <w:r>
              <w:rPr>
                <w:rFonts w:hint="eastAsia" w:ascii="宋体" w:hAnsi="宋体" w:eastAsia="宋体" w:cs="宋体"/>
                <w:color w:val="000000"/>
                <w:kern w:val="0"/>
                <w:sz w:val="22"/>
                <w:highlight w:val="none"/>
                <w:lang w:val="en-US" w:eastAsia="zh-CN" w:bidi="ar"/>
              </w:rPr>
              <w:t>安装调试费</w:t>
            </w:r>
          </w:p>
        </w:tc>
        <w:tc>
          <w:tcPr>
            <w:tcW w:w="2119" w:type="pct"/>
            <w:noWrap w:val="0"/>
            <w:vAlign w:val="center"/>
          </w:tcPr>
          <w:p>
            <w:pPr>
              <w:keepNext w:val="0"/>
              <w:keepLines w:val="0"/>
              <w:widowControl/>
              <w:suppressLineNumbers w:val="0"/>
              <w:jc w:val="left"/>
              <w:rPr>
                <w:b/>
                <w:bCs/>
                <w:highlight w:val="none"/>
              </w:rPr>
            </w:pPr>
            <w:r>
              <w:rPr>
                <w:rFonts w:hint="eastAsia" w:ascii="宋体" w:hAnsi="宋体" w:eastAsia="宋体" w:cs="宋体"/>
                <w:b/>
                <w:bCs/>
                <w:color w:val="000000"/>
                <w:kern w:val="0"/>
                <w:sz w:val="22"/>
                <w:szCs w:val="22"/>
                <w:highlight w:val="none"/>
                <w:lang w:val="en-US" w:eastAsia="zh-CN" w:bidi="ar"/>
              </w:rPr>
              <w:t>包括但不限于室内线路改造费用。</w:t>
            </w:r>
          </w:p>
          <w:p>
            <w:pPr>
              <w:keepNext w:val="0"/>
              <w:keepLines w:val="0"/>
              <w:widowControl/>
              <w:suppressLineNumbers w:val="0"/>
              <w:jc w:val="left"/>
              <w:rPr>
                <w:rFonts w:hint="eastAsia"/>
                <w:highlight w:val="none"/>
                <w:lang w:val="en-US" w:eastAsia="zh-CN"/>
              </w:rPr>
            </w:pPr>
            <w:r>
              <w:rPr>
                <w:rFonts w:hint="eastAsia" w:ascii="宋体" w:hAnsi="宋体" w:eastAsia="宋体" w:cs="宋体"/>
                <w:b/>
                <w:bCs/>
                <w:color w:val="000000"/>
                <w:kern w:val="0"/>
                <w:sz w:val="22"/>
                <w:szCs w:val="22"/>
                <w:highlight w:val="none"/>
                <w:lang w:val="en-US" w:eastAsia="zh-CN" w:bidi="ar"/>
              </w:rPr>
              <w:t>投标人须自行踏勘现场，中标后不予调整。</w:t>
            </w:r>
            <w:r>
              <w:rPr>
                <w:rFonts w:hint="eastAsia" w:ascii="宋体" w:hAnsi="宋体" w:eastAsia="宋体" w:cs="宋体"/>
                <w:color w:val="000000"/>
                <w:kern w:val="0"/>
                <w:sz w:val="22"/>
                <w:szCs w:val="22"/>
                <w:highlight w:val="none"/>
                <w:lang w:val="en-US" w:eastAsia="zh-CN" w:bidi="ar"/>
              </w:rPr>
              <w:t xml:space="preserve"> </w:t>
            </w:r>
          </w:p>
        </w:tc>
        <w:tc>
          <w:tcPr>
            <w:tcW w:w="324" w:type="pct"/>
            <w:noWrap/>
            <w:vAlign w:val="center"/>
          </w:tcPr>
          <w:p>
            <w:pPr>
              <w:widowControl/>
              <w:jc w:val="center"/>
              <w:textAlignment w:val="center"/>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项</w:t>
            </w:r>
          </w:p>
        </w:tc>
        <w:tc>
          <w:tcPr>
            <w:tcW w:w="346" w:type="pct"/>
            <w:noWrap/>
            <w:vAlign w:val="center"/>
          </w:tcPr>
          <w:p>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1</w:t>
            </w:r>
          </w:p>
        </w:tc>
        <w:tc>
          <w:tcPr>
            <w:tcW w:w="1111" w:type="pct"/>
            <w:noWrap w:val="0"/>
            <w:vAlign w:val="center"/>
          </w:tcPr>
          <w:p>
            <w:pPr>
              <w:widowControl/>
              <w:jc w:val="left"/>
              <w:textAlignment w:val="center"/>
              <w:rPr>
                <w:rFonts w:hint="eastAsia" w:ascii="宋体" w:hAnsi="宋体" w:eastAsia="宋体" w:cs="宋体"/>
                <w:color w:val="000000"/>
                <w:kern w:val="0"/>
                <w:sz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97" w:type="pct"/>
            <w:gridSpan w:val="2"/>
            <w:noWrap/>
            <w:vAlign w:val="center"/>
          </w:tcPr>
          <w:p>
            <w:pPr>
              <w:widowControl/>
              <w:jc w:val="center"/>
              <w:textAlignment w:val="center"/>
              <w:rPr>
                <w:rFonts w:hint="eastAsia" w:ascii="宋体" w:hAnsi="宋体" w:eastAsia="宋体" w:cs="宋体"/>
                <w:color w:val="000000"/>
                <w:kern w:val="0"/>
                <w:sz w:val="22"/>
                <w:highlight w:val="none"/>
                <w:lang w:eastAsia="zh-CN" w:bidi="ar"/>
              </w:rPr>
            </w:pPr>
            <w:r>
              <w:rPr>
                <w:rFonts w:hint="eastAsia" w:ascii="宋体" w:hAnsi="宋体" w:eastAsia="宋体" w:cs="宋体"/>
                <w:color w:val="000000"/>
                <w:kern w:val="0"/>
                <w:sz w:val="22"/>
                <w:highlight w:val="none"/>
                <w:lang w:eastAsia="zh-CN" w:bidi="ar"/>
              </w:rPr>
              <w:t>备注</w:t>
            </w:r>
          </w:p>
        </w:tc>
        <w:tc>
          <w:tcPr>
            <w:tcW w:w="3902" w:type="pct"/>
            <w:gridSpan w:val="4"/>
            <w:noWrap w:val="0"/>
            <w:vAlign w:val="center"/>
          </w:tcPr>
          <w:p>
            <w:pPr>
              <w:widowControl/>
              <w:jc w:val="left"/>
              <w:textAlignment w:val="center"/>
              <w:rPr>
                <w:rFonts w:hint="eastAsia" w:ascii="宋体" w:hAnsi="宋体" w:eastAsia="宋体" w:cs="宋体"/>
                <w:color w:val="000000"/>
                <w:kern w:val="0"/>
                <w:sz w:val="22"/>
                <w:highlight w:val="none"/>
                <w:lang w:bidi="ar"/>
              </w:rPr>
            </w:pPr>
            <w:r>
              <w:rPr>
                <w:rFonts w:hint="eastAsia" w:ascii="宋体" w:hAnsi="宋体" w:eastAsia="宋体" w:cs="宋体"/>
                <w:b/>
                <w:bCs/>
                <w:color w:val="000000"/>
                <w:kern w:val="0"/>
                <w:sz w:val="22"/>
                <w:highlight w:val="none"/>
                <w:lang w:eastAsia="zh-CN" w:bidi="ar"/>
              </w:rPr>
              <w:t>本项目按合同价实行总价包干，中标价即为合同价。</w:t>
            </w:r>
            <w:r>
              <w:rPr>
                <w:rFonts w:hint="eastAsia" w:ascii="宋体" w:hAnsi="宋体" w:eastAsia="宋体" w:cs="宋体"/>
                <w:color w:val="000000"/>
                <w:kern w:val="0"/>
                <w:sz w:val="22"/>
                <w:highlight w:val="none"/>
                <w:lang w:bidi="ar"/>
              </w:rPr>
              <w:t>投标报价应包含设备费、电源线材及施工安装</w:t>
            </w:r>
            <w:r>
              <w:rPr>
                <w:rFonts w:hint="eastAsia" w:ascii="宋体" w:hAnsi="宋体" w:eastAsia="宋体" w:cs="宋体"/>
                <w:color w:val="000000"/>
                <w:kern w:val="0"/>
                <w:sz w:val="22"/>
                <w:highlight w:val="none"/>
                <w:lang w:eastAsia="zh-CN" w:bidi="ar"/>
              </w:rPr>
              <w:t>、</w:t>
            </w:r>
            <w:r>
              <w:rPr>
                <w:rFonts w:hint="eastAsia" w:ascii="宋体" w:hAnsi="宋体" w:eastAsia="宋体" w:cs="宋体"/>
                <w:color w:val="000000"/>
                <w:kern w:val="0"/>
                <w:sz w:val="22"/>
                <w:highlight w:val="none"/>
                <w:lang w:bidi="ar"/>
              </w:rPr>
              <w:t>安装配件及辅材费、运输费、维保费、安装调试费、现场搬运费、税金等为完成本项目所发生的一切费用。</w:t>
            </w:r>
            <w:r>
              <w:rPr>
                <w:rFonts w:hint="eastAsia" w:ascii="宋体" w:hAnsi="宋体" w:eastAsia="宋体" w:cs="宋体"/>
                <w:highlight w:val="none"/>
              </w:rPr>
              <w:t>供货安装需符合相关安全规定，安全责任供货方自负。</w:t>
            </w:r>
          </w:p>
        </w:tc>
      </w:tr>
    </w:tbl>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p>
      <w:pPr>
        <w:pStyle w:val="2"/>
        <w:numPr>
          <w:ilvl w:val="0"/>
          <w:numId w:val="2"/>
        </w:numPr>
        <w:spacing w:after="0" w:line="360" w:lineRule="auto"/>
        <w:ind w:left="0" w:leftChars="0" w:firstLine="482"/>
        <w:rPr>
          <w:rFonts w:hint="eastAsia" w:ascii="宋体" w:hAnsi="宋体" w:eastAsia="宋体" w:cs="宋体"/>
          <w:b/>
          <w:bCs/>
          <w:sz w:val="24"/>
          <w:highlight w:val="none"/>
        </w:rPr>
      </w:pPr>
      <w:r>
        <w:rPr>
          <w:rFonts w:hint="eastAsia" w:ascii="宋体" w:hAnsi="宋体" w:eastAsia="宋体" w:cs="宋体"/>
          <w:b/>
          <w:bCs/>
          <w:sz w:val="24"/>
          <w:highlight w:val="none"/>
        </w:rPr>
        <w:t>投标人的投标文件必须标明所投货物的品牌与参数，保证原厂正品供货，提供相关证明资料复印件加盖投标人公章。</w:t>
      </w:r>
    </w:p>
    <w:p>
      <w:pPr>
        <w:pStyle w:val="2"/>
        <w:numPr>
          <w:ilvl w:val="0"/>
          <w:numId w:val="2"/>
        </w:numPr>
        <w:spacing w:after="0" w:line="360" w:lineRule="auto"/>
        <w:ind w:left="0" w:leftChars="0" w:firstLine="482"/>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pStyle w:val="2"/>
        <w:numPr>
          <w:ilvl w:val="0"/>
          <w:numId w:val="2"/>
        </w:numPr>
        <w:spacing w:after="0" w:line="360" w:lineRule="auto"/>
        <w:ind w:left="0" w:leftChars="0" w:firstLine="482"/>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投标人应自行踏勘本项目实施现场，</w:t>
      </w:r>
      <w:r>
        <w:rPr>
          <w:rFonts w:hint="eastAsia" w:ascii="宋体" w:hAnsi="宋体" w:cs="宋体"/>
          <w:b/>
          <w:bCs/>
          <w:sz w:val="24"/>
          <w:highlight w:val="none"/>
          <w:lang w:val="en-US" w:eastAsia="zh-CN"/>
        </w:rPr>
        <w:t>了解热水器</w:t>
      </w:r>
      <w:r>
        <w:rPr>
          <w:rFonts w:hint="eastAsia" w:ascii="宋体" w:hAnsi="宋体" w:eastAsia="宋体" w:cs="宋体"/>
          <w:b/>
          <w:bCs/>
          <w:sz w:val="24"/>
          <w:highlight w:val="none"/>
          <w:lang w:val="en-US" w:eastAsia="zh-CN"/>
        </w:rPr>
        <w:t>安装现场的</w:t>
      </w:r>
      <w:r>
        <w:rPr>
          <w:rFonts w:hint="eastAsia" w:ascii="宋体" w:hAnsi="宋体" w:cs="宋体"/>
          <w:b/>
          <w:bCs/>
          <w:sz w:val="24"/>
          <w:highlight w:val="none"/>
          <w:lang w:val="en-US" w:eastAsia="zh-CN"/>
        </w:rPr>
        <w:t>位置、</w:t>
      </w:r>
      <w:r>
        <w:rPr>
          <w:rFonts w:hint="eastAsia" w:ascii="宋体" w:hAnsi="宋体" w:eastAsia="宋体" w:cs="宋体"/>
          <w:b/>
          <w:bCs/>
          <w:sz w:val="24"/>
          <w:highlight w:val="none"/>
          <w:lang w:val="en-US" w:eastAsia="zh-CN"/>
        </w:rPr>
        <w:t>尺寸</w:t>
      </w:r>
      <w:r>
        <w:rPr>
          <w:rFonts w:hint="eastAsia" w:ascii="宋体" w:hAnsi="宋体" w:cs="宋体"/>
          <w:b/>
          <w:bCs/>
          <w:sz w:val="24"/>
          <w:highlight w:val="none"/>
          <w:lang w:val="en-US" w:eastAsia="zh-CN"/>
        </w:rPr>
        <w:t>及线路改造的工程量</w:t>
      </w:r>
      <w:r>
        <w:rPr>
          <w:rFonts w:hint="eastAsia" w:ascii="宋体" w:hAnsi="宋体" w:eastAsia="宋体" w:cs="宋体"/>
          <w:b/>
          <w:bCs/>
          <w:sz w:val="24"/>
          <w:highlight w:val="none"/>
          <w:lang w:val="en-US" w:eastAsia="zh-CN"/>
        </w:rPr>
        <w:t>等可能影响后期安装的全部因素，确保所投</w:t>
      </w:r>
      <w:r>
        <w:rPr>
          <w:rFonts w:hint="eastAsia" w:ascii="宋体" w:hAnsi="宋体" w:cs="宋体"/>
          <w:b/>
          <w:bCs/>
          <w:sz w:val="24"/>
          <w:highlight w:val="none"/>
          <w:lang w:val="en-US" w:eastAsia="zh-CN"/>
        </w:rPr>
        <w:t>热水器</w:t>
      </w:r>
      <w:r>
        <w:rPr>
          <w:rFonts w:hint="eastAsia" w:ascii="宋体" w:hAnsi="宋体" w:eastAsia="宋体" w:cs="宋体"/>
          <w:b/>
          <w:bCs/>
          <w:sz w:val="24"/>
          <w:highlight w:val="none"/>
          <w:lang w:val="en-US" w:eastAsia="zh-CN"/>
        </w:rPr>
        <w:t>满足现场实际安装要求。</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投标人要充分考虑到实际安装内容与采购清单中数量和种类存在差异的风险，这部分的风险视为投标人在投标报价时已充分考虑到，对采购清单中少项和漏项内容投标人必须自行添补直至达到系统完整性要求和验收标准。</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二、安装验收要求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1、安装调试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货物安装在采购人指定地点，供货时间：</w:t>
      </w:r>
      <w:r>
        <w:rPr>
          <w:rFonts w:hint="eastAsia" w:ascii="宋体" w:hAnsi="宋体" w:eastAsia="宋体" w:cs="宋体"/>
          <w:sz w:val="24"/>
          <w:szCs w:val="24"/>
          <w:highlight w:val="none"/>
          <w:lang w:val="en-US" w:eastAsia="zh-CN"/>
        </w:rPr>
        <w:t>60日历天（</w:t>
      </w:r>
      <w:r>
        <w:rPr>
          <w:rFonts w:hint="eastAsia" w:ascii="宋体" w:hAnsi="宋体" w:eastAsia="宋体" w:cs="宋体"/>
          <w:sz w:val="24"/>
          <w:szCs w:val="24"/>
          <w:highlight w:val="none"/>
        </w:rPr>
        <w:t>分批次供货，合同签订后</w:t>
      </w:r>
      <w:r>
        <w:rPr>
          <w:rFonts w:hint="eastAsia" w:ascii="宋体" w:hAnsi="宋体" w:eastAsia="宋体" w:cs="宋体"/>
          <w:sz w:val="24"/>
          <w:szCs w:val="24"/>
          <w:highlight w:val="none"/>
          <w:lang w:eastAsia="zh-CN"/>
        </w:rPr>
        <w:t>采购人确定第一批货物的供货量后</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日历天内完成第一批次的货物供货及安装，其他批次供货时间</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满足采购人要求</w:t>
      </w:r>
      <w:r>
        <w:rPr>
          <w:rFonts w:hint="eastAsia" w:ascii="宋体" w:hAnsi="宋体" w:eastAsia="宋体" w:cs="宋体"/>
          <w:sz w:val="24"/>
          <w:szCs w:val="24"/>
          <w:highlight w:val="none"/>
          <w:lang w:val="en-US"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2、验收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货物安装调试完毕经采购人验收合格后出具验收报告，货物投入使用。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验收依据合同、招标文件、中标供应商投标文件和国家有关标准进行，必要时使用测试专业仪器。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3、技术资料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验收前，中标供应商应将全部货物资料装订成册，交采购人进行保管。</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三、人员培训要求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货物安装、调试、验收合格后，中标人应对采购单位的相关人员进行免费现场培训。培训内容包括基本操作、保养维修、常见故障及解决办法等。</w:t>
      </w:r>
      <w:bookmarkStart w:id="2" w:name="_Toc375064008"/>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四、货物质量及售后服务要求</w:t>
      </w:r>
      <w:bookmarkEnd w:id="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1、货物质量：中标人提供的货物必须是品牌范围内、全新、原装、合格正品，完全符合国家规定的质量标准、厂方的标准以及采购人的采购需求。货物完好，配件齐全。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2、质量保证期限：投标人需提供免费质保期</w:t>
      </w:r>
      <w:r>
        <w:rPr>
          <w:rFonts w:hint="eastAsia" w:ascii="宋体" w:hAnsi="宋体" w:eastAsia="宋体" w:cs="宋体"/>
          <w:sz w:val="24"/>
          <w:szCs w:val="24"/>
          <w:highlight w:val="none"/>
          <w:lang w:eastAsia="zh-CN"/>
        </w:rPr>
        <w:t>叁</w:t>
      </w:r>
      <w:r>
        <w:rPr>
          <w:rFonts w:hint="eastAsia" w:ascii="宋体" w:hAnsi="宋体" w:eastAsia="宋体" w:cs="宋体"/>
          <w:sz w:val="24"/>
          <w:szCs w:val="24"/>
          <w:highlight w:val="none"/>
        </w:rPr>
        <w:t>年，质保期及服务期自供货安装完毕、验收合格经双方签字之日起计算。</w:t>
      </w:r>
    </w:p>
    <w:p>
      <w:pPr>
        <w:spacing w:line="360" w:lineRule="auto"/>
        <w:ind w:firstLine="480" w:firstLineChars="200"/>
        <w:rPr>
          <w:rStyle w:val="9"/>
          <w:rFonts w:hint="eastAsia" w:ascii="宋体" w:hAnsi="宋体" w:eastAsia="宋体" w:cs="宋体"/>
          <w:highlight w:val="none"/>
        </w:rPr>
      </w:pPr>
      <w:r>
        <w:rPr>
          <w:rFonts w:hint="eastAsia" w:ascii="宋体" w:hAnsi="宋体" w:eastAsia="宋体" w:cs="宋体"/>
          <w:sz w:val="24"/>
          <w:szCs w:val="24"/>
          <w:highlight w:val="none"/>
        </w:rPr>
        <w:t>3、质保期内，需提供7*24小时的免费电话咨询服务支持，对于用户的售后服务请求须在12小时内上门服务；在质保期内因设备重大质量原因而需要更换或维修的，须在</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小时内完成，以保证设备的正常运行。在设备免费质保期内，因设备制造原因出现的任何质量问题，中标单位应负责更换或维修，由此产生的一切费用由</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承担。若在约定时间内无人上门解决问题，逾期采购人有权请第三方专业维修人员进行维修，相关费用将从</w:t>
      </w:r>
      <w:r>
        <w:rPr>
          <w:rFonts w:hint="eastAsia" w:ascii="宋体" w:hAnsi="宋体" w:eastAsia="宋体" w:cs="宋体"/>
          <w:sz w:val="24"/>
          <w:szCs w:val="24"/>
          <w:highlight w:val="none"/>
          <w:lang w:eastAsia="zh-CN"/>
        </w:rPr>
        <w:t>预留金</w:t>
      </w:r>
      <w:r>
        <w:rPr>
          <w:rFonts w:hint="eastAsia" w:ascii="宋体" w:hAnsi="宋体" w:eastAsia="宋体" w:cs="宋体"/>
          <w:sz w:val="24"/>
          <w:szCs w:val="24"/>
          <w:highlight w:val="none"/>
        </w:rPr>
        <w:t>中扣除，并扣除当年应返还的全部</w:t>
      </w:r>
      <w:r>
        <w:rPr>
          <w:rFonts w:hint="eastAsia" w:ascii="宋体" w:hAnsi="宋体" w:eastAsia="宋体" w:cs="宋体"/>
          <w:sz w:val="24"/>
          <w:szCs w:val="24"/>
          <w:highlight w:val="none"/>
          <w:lang w:eastAsia="zh-CN"/>
        </w:rPr>
        <w:t>预留金</w:t>
      </w:r>
      <w:r>
        <w:rPr>
          <w:rFonts w:hint="eastAsia" w:ascii="宋体" w:hAnsi="宋体" w:eastAsia="宋体" w:cs="宋体"/>
          <w:sz w:val="24"/>
          <w:szCs w:val="24"/>
          <w:highlight w:val="none"/>
        </w:rPr>
        <w:t>，如通过维修仍无法正常使用，采购人有权退货或要求更换。</w:t>
      </w:r>
    </w:p>
    <w:p>
      <w:p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五、其他要求</w:t>
      </w:r>
    </w:p>
    <w:p>
      <w:pPr>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本项目投标报价包含采购需求范围内全部内容及工程量，交付使用前的全部费用，包括设备费（包括所有硬件、软件、附件、配件、备品备件及专用工具费）、材料费、保险费、运输费、安装调试费、培训费、质保期内的维修费、检测验收费用、其他费用（如包装费、仓储费、保管费、软件费、资料费、以及完成本项目所需要的其他费用）及所有价内价外税金及合理利润等。若报价中有任何遗漏，招标人均视为已包括在中标人总报价中。中标人应对本工程实际发生的各种费用做出正确判断，体现在报价中，如有遗漏视为中标人对招标人的优惠。 </w:t>
      </w:r>
    </w:p>
    <w:p>
      <w:pPr>
        <w:spacing w:line="360" w:lineRule="auto"/>
        <w:ind w:firstLine="480" w:firstLineChars="200"/>
        <w:rPr>
          <w:rFonts w:hint="eastAsia" w:ascii="宋体" w:hAnsi="宋体" w:eastAsia="宋体" w:cs="宋体"/>
          <w:sz w:val="24"/>
          <w:szCs w:val="24"/>
          <w:highlight w:val="none"/>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、中标人自行承担项目实施过程中全部安全责任及由此产生的法律和经济责任。 施工期间中标人人员所发生的或中标人施工场地内发生的或中标人原因造成的安全事故，均应由中标人负责按有关规定处理善后事宜，并承担给招标人造成的损失。 </w:t>
      </w:r>
    </w:p>
    <w:p>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为了确保工程质量，投标人须承诺：我公司承诺在本项目中选用产品品牌档次均不低于推荐品牌，中标后，我公司无条件接受招标人对我公司投标方案及投标产品的核查，如经核查认定我公司所投产品不满足招标文件要求，我公司将从推荐品牌中选取符合招标文件技术参数要求的产品提供给招标人确认，经招标人确认后方可供货安装，且我公司承诺投标报价不增加。如有虚假，或我公司后期未按承诺执行的，招标人有权终止合同，并由我公司承担由此产生的一切相关责任和后果。（格式自拟，需反映在投标文件中）</w:t>
      </w:r>
    </w:p>
    <w:bookmarkEnd w:id="0"/>
    <w:bookmarkEnd w:id="1"/>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68CE4"/>
    <w:multiLevelType w:val="singleLevel"/>
    <w:tmpl w:val="EF968CE4"/>
    <w:lvl w:ilvl="0" w:tentative="0">
      <w:start w:val="1"/>
      <w:numFmt w:val="chineseCounting"/>
      <w:suff w:val="nothing"/>
      <w:lvlText w:val="%1、"/>
      <w:lvlJc w:val="left"/>
      <w:rPr>
        <w:rFonts w:hint="eastAsia"/>
      </w:rPr>
    </w:lvl>
  </w:abstractNum>
  <w:abstractNum w:abstractNumId="1">
    <w:nsid w:val="3DFB13DD"/>
    <w:multiLevelType w:val="singleLevel"/>
    <w:tmpl w:val="3DFB13D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TY3YmQwNmJiNTFjYTM4M2FkOWY2MGFiYzU4NWUifQ=="/>
  </w:docVars>
  <w:rsids>
    <w:rsidRoot w:val="4F6B4E28"/>
    <w:rsid w:val="4F6B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eastAsia="宋体"/>
      <w:sz w:val="21"/>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Normal Indent"/>
    <w:basedOn w:val="1"/>
    <w:next w:val="1"/>
    <w:qFormat/>
    <w:uiPriority w:val="0"/>
    <w:pPr>
      <w:ind w:firstLine="420" w:firstLineChars="200"/>
    </w:pPr>
    <w:rPr>
      <w:szCs w:val="24"/>
    </w:rPr>
  </w:style>
  <w:style w:type="paragraph" w:styleId="6">
    <w:name w:val="annotation text"/>
    <w:basedOn w:val="1"/>
    <w:unhideWhenUsed/>
    <w:qFormat/>
    <w:uiPriority w:val="99"/>
    <w:pPr>
      <w:jc w:val="left"/>
    </w:pPr>
  </w:style>
  <w:style w:type="character" w:styleId="9">
    <w:name w:val="annotation reference"/>
    <w:unhideWhenUsed/>
    <w:qFormat/>
    <w:uiPriority w:val="99"/>
    <w:rPr>
      <w:sz w:val="21"/>
      <w:szCs w:val="21"/>
    </w:rPr>
  </w:style>
  <w:style w:type="paragraph" w:customStyle="1" w:styleId="10">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2022-08-26T00:18:00Z</dcterms:created>
  <dc:creator>wang</dc:creator>
  <cp:lastModifiedBy>wang</cp:lastModifiedBy>
  <dcterms:modified xsi:type="dcterms:W3CDTF">2022-08-26T00:19:15Z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B96134318CA74E0A80C8F90C64081DD4</vt:lpwstr>
  </property>
</Properties>
</file>