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仿宋" w:hAnsi="仿宋"/>
          <w:b/>
          <w:color w:val="auto"/>
          <w:kern w:val="0"/>
          <w:sz w:val="48"/>
          <w:szCs w:val="48"/>
          <w:highlight w:val="none"/>
          <w:lang w:eastAsia="zh-CN"/>
        </w:rPr>
      </w:pPr>
      <w:r>
        <w:rPr>
          <w:rFonts w:hint="eastAsia" w:ascii="仿宋" w:hAnsi="仿宋"/>
          <w:b/>
          <w:color w:val="auto"/>
          <w:kern w:val="0"/>
          <w:sz w:val="48"/>
          <w:szCs w:val="48"/>
          <w:highlight w:val="none"/>
          <w:lang w:eastAsia="zh-CN"/>
        </w:rPr>
        <w:t>采购需求</w:t>
      </w:r>
    </w:p>
    <w:tbl>
      <w:tblPr>
        <w:tblStyle w:val="20"/>
        <w:tblW w:w="5093" w:type="pct"/>
        <w:tblInd w:w="0" w:type="dxa"/>
        <w:tblLayout w:type="fixed"/>
        <w:tblCellMar>
          <w:top w:w="0" w:type="dxa"/>
          <w:left w:w="108" w:type="dxa"/>
          <w:bottom w:w="0" w:type="dxa"/>
          <w:right w:w="108" w:type="dxa"/>
        </w:tblCellMar>
      </w:tblPr>
      <w:tblGrid>
        <w:gridCol w:w="616"/>
        <w:gridCol w:w="1015"/>
        <w:gridCol w:w="6513"/>
        <w:gridCol w:w="537"/>
        <w:gridCol w:w="778"/>
      </w:tblGrid>
      <w:tr>
        <w:tblPrEx>
          <w:tblCellMar>
            <w:top w:w="0" w:type="dxa"/>
            <w:left w:w="108" w:type="dxa"/>
            <w:bottom w:w="0" w:type="dxa"/>
            <w:right w:w="108" w:type="dxa"/>
          </w:tblCellMar>
        </w:tblPrEx>
        <w:trPr>
          <w:trHeight w:val="569"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多媒体教学系统</w:t>
            </w:r>
          </w:p>
        </w:tc>
      </w:tr>
      <w:tr>
        <w:tblPrEx>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智慧黑板</w:t>
            </w:r>
            <w:r>
              <w:rPr>
                <w:rFonts w:hint="eastAsia" w:ascii="宋体" w:hAnsi="宋体" w:eastAsia="宋体" w:cs="宋体"/>
                <w:color w:val="auto"/>
                <w:kern w:val="0"/>
                <w:sz w:val="20"/>
                <w:szCs w:val="20"/>
                <w:highlight w:val="none"/>
                <w:lang w:eastAsia="zh-CN" w:bidi="ar"/>
              </w:rPr>
              <w:t>（含智慧教学系统）</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一、硬件参数</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1</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整机屏幕采用≥86英寸UHD超高清LED液晶屏，显示比例16:9，屏幕图像分辨率≥3840*2160，具备防眩光</w:t>
            </w:r>
            <w:r>
              <w:rPr>
                <w:rFonts w:hint="eastAsia" w:ascii="宋体" w:hAnsi="宋体" w:eastAsia="宋体" w:cs="宋体"/>
                <w:bCs/>
                <w:kern w:val="0"/>
                <w:sz w:val="20"/>
                <w:szCs w:val="20"/>
                <w:lang w:val="en-US" w:eastAsia="zh-CN"/>
              </w:rPr>
              <w:t>效果</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2</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采用电容触控感应技术，需支持20点触控及同时书写，触摸分辨率≥32767×32767</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3</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整机采用三拼接平面一体化设计，无推拉式结构及外露连接线，外观简洁。主屏表面硬度≥9H，透光率≥90%</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★4</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整机屏体无需操作即可实现蓝光防护，具备物理防蓝光（过滤蓝光）功能，有效抗蓝光、防眩光。</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5</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需支持内置广角摄像头，像素≥1300万，摄像头广角角度≥120°</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畸变≤5%，可进行教室场景拍摄</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6</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整机前置2*25W扬声器，额定总功率≥50W,要求清晰度STI指标≥0.75,1米到10米响度差距≤6dB</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7</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整机Android主板具备四核CPU，配置≥3G RAM，≥16G ROM。</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8</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内置无线投屏软件，可满足安卓/IOS手机或电脑进行投屏功能</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二、OPS性能参数要求</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★1</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整机架构:为降低电脑模块维护成本，接口严格遵循Intel相关规范,针脚数为行业通用80Pin,与大屏无单独接线</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2</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CPU采用Intel第10代酷睿I5处理器；内存：8G DDR4；硬盘：256G SSD；</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3</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USB接口</w:t>
            </w:r>
            <w:r>
              <w:rPr>
                <w:rFonts w:hint="eastAsia" w:ascii="宋体" w:hAnsi="宋体" w:eastAsia="宋体" w:cs="宋体"/>
                <w:bCs/>
                <w:kern w:val="0"/>
                <w:sz w:val="20"/>
                <w:szCs w:val="20"/>
                <w:lang w:val="en-US" w:eastAsia="zh-CN"/>
              </w:rPr>
              <w:t>不少于6个</w:t>
            </w:r>
            <w:r>
              <w:rPr>
                <w:rFonts w:hint="eastAsia" w:ascii="宋体" w:hAnsi="宋体" w:eastAsia="宋体" w:cs="宋体"/>
                <w:bCs/>
                <w:kern w:val="0"/>
                <w:sz w:val="20"/>
                <w:szCs w:val="20"/>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4</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其他接口要求：网络接口不少于1个，DP输出接口不少于1个，HDMI不少于1个，耳机不少于1个，麦克风输入接口不少于1个；</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5</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Wifi：需支持802.11b/g/n；蓝牙需支持Bluetooth 4.2以上。</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三、教学应用系统</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1</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配套教学资源：需提供全学科电子化教材，其中语文、英语、音乐三大语言类学科提供语言学习资源支持即点即读功能</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lang w:val="en-US" w:eastAsia="zh-CN"/>
              </w:rPr>
              <w:t>2</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备课功能：需支持通过云端将备课的资源同步至电子课本对应章节目录</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lang w:val="en-US" w:eastAsia="zh-CN"/>
              </w:rPr>
              <w:t>3</w:t>
            </w:r>
            <w:r>
              <w:rPr>
                <w:rFonts w:hint="eastAsia" w:ascii="宋体" w:hAnsi="宋体" w:eastAsia="宋体" w:cs="宋体"/>
                <w:bCs/>
                <w:kern w:val="0"/>
                <w:sz w:val="20"/>
                <w:szCs w:val="20"/>
                <w:lang w:eastAsia="zh-CN"/>
              </w:rPr>
              <w:t>、</w:t>
            </w:r>
            <w:r>
              <w:rPr>
                <w:rFonts w:hint="eastAsia" w:ascii="宋体" w:hAnsi="宋体" w:eastAsia="宋体" w:cs="宋体"/>
                <w:bCs/>
                <w:kern w:val="0"/>
                <w:sz w:val="20"/>
                <w:szCs w:val="20"/>
              </w:rPr>
              <w:t>电子白板教学：需电子白板手写中英文实现转写功能，手写字词、单词、句子转写成印刷体，识别为印刷体后支持朗读、评测、生成卡片功能，中文卡片包括拼音、笔顺、部首和结构，英文卡片包括发音、翻译、关联词、常用短语、例句</w:t>
            </w:r>
            <w:r>
              <w:rPr>
                <w:rFonts w:hint="eastAsia" w:ascii="宋体" w:hAnsi="宋体" w:eastAsia="宋体" w:cs="宋体"/>
                <w:bCs/>
                <w:kern w:val="0"/>
                <w:sz w:val="20"/>
                <w:szCs w:val="20"/>
                <w:lang w:eastAsia="zh-CN"/>
              </w:rPr>
              <w:t>。</w:t>
            </w:r>
          </w:p>
          <w:p>
            <w:pPr>
              <w:spacing w:line="276" w:lineRule="auto"/>
              <w:jc w:val="left"/>
              <w:rPr>
                <w:rFonts w:hint="eastAsia" w:ascii="宋体" w:hAnsi="宋体" w:eastAsia="宋体" w:cs="宋体"/>
                <w:bCs/>
                <w:kern w:val="0"/>
                <w:sz w:val="20"/>
                <w:szCs w:val="20"/>
              </w:rPr>
            </w:pPr>
            <w:r>
              <w:rPr>
                <w:rFonts w:hint="eastAsia" w:ascii="宋体" w:hAnsi="宋体" w:eastAsia="宋体" w:cs="宋体"/>
                <w:b/>
                <w:bCs w:val="0"/>
                <w:kern w:val="0"/>
                <w:sz w:val="20"/>
                <w:szCs w:val="20"/>
              </w:rPr>
              <w:t>备注：</w:t>
            </w:r>
            <w:r>
              <w:rPr>
                <w:rFonts w:hint="eastAsia" w:ascii="宋体" w:hAnsi="宋体" w:eastAsia="宋体" w:cs="宋体"/>
                <w:b/>
                <w:bCs w:val="0"/>
                <w:kern w:val="0"/>
                <w:sz w:val="20"/>
                <w:szCs w:val="20"/>
                <w:lang w:eastAsia="zh-CN"/>
              </w:rPr>
              <w:t>成交人</w:t>
            </w:r>
            <w:r>
              <w:rPr>
                <w:rFonts w:hint="eastAsia" w:ascii="宋体" w:hAnsi="宋体" w:eastAsia="宋体" w:cs="宋体"/>
                <w:b/>
                <w:bCs w:val="0"/>
                <w:kern w:val="0"/>
                <w:sz w:val="20"/>
                <w:szCs w:val="20"/>
              </w:rPr>
              <w:t>在</w:t>
            </w:r>
            <w:r>
              <w:rPr>
                <w:rFonts w:hint="eastAsia" w:ascii="宋体" w:hAnsi="宋体" w:eastAsia="宋体" w:cs="宋体"/>
                <w:b/>
                <w:bCs w:val="0"/>
                <w:kern w:val="0"/>
                <w:sz w:val="20"/>
                <w:szCs w:val="20"/>
                <w:lang w:eastAsia="zh-CN"/>
              </w:rPr>
              <w:t>供货后</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val="en-US" w:eastAsia="zh-CN"/>
              </w:rPr>
              <w:t>1.</w:t>
            </w:r>
            <w:r>
              <w:rPr>
                <w:rFonts w:hint="eastAsia" w:ascii="宋体" w:hAnsi="宋体" w:eastAsia="宋体" w:cs="宋体"/>
                <w:b/>
                <w:bCs w:val="0"/>
                <w:kern w:val="0"/>
                <w:sz w:val="20"/>
                <w:szCs w:val="20"/>
              </w:rPr>
              <w:t>按采购人的要求对所</w:t>
            </w:r>
            <w:r>
              <w:rPr>
                <w:rFonts w:hint="eastAsia" w:ascii="宋体" w:hAnsi="宋体" w:eastAsia="宋体" w:cs="宋体"/>
                <w:b/>
                <w:bCs w:val="0"/>
                <w:kern w:val="0"/>
                <w:sz w:val="20"/>
                <w:szCs w:val="20"/>
                <w:lang w:eastAsia="zh-CN"/>
              </w:rPr>
              <w:t>提供产品</w:t>
            </w:r>
            <w:r>
              <w:rPr>
                <w:rFonts w:hint="eastAsia" w:ascii="宋体" w:hAnsi="宋体" w:eastAsia="宋体" w:cs="宋体"/>
                <w:b/>
                <w:bCs w:val="0"/>
                <w:kern w:val="0"/>
                <w:sz w:val="20"/>
                <w:szCs w:val="20"/>
              </w:rPr>
              <w:t>的技术参数进行逐项演示，现场不满足演示条件的技术参数应提供相关材料证明并加盖</w:t>
            </w:r>
            <w:r>
              <w:rPr>
                <w:rFonts w:hint="eastAsia" w:ascii="宋体" w:hAnsi="宋体" w:eastAsia="宋体" w:cs="宋体"/>
                <w:b/>
                <w:bCs w:val="0"/>
                <w:kern w:val="0"/>
                <w:sz w:val="20"/>
                <w:szCs w:val="20"/>
                <w:lang w:eastAsia="zh-CN"/>
              </w:rPr>
              <w:t>制造商</w:t>
            </w:r>
            <w:r>
              <w:rPr>
                <w:rFonts w:hint="eastAsia" w:ascii="宋体" w:hAnsi="宋体" w:eastAsia="宋体" w:cs="宋体"/>
                <w:b/>
                <w:bCs w:val="0"/>
                <w:kern w:val="0"/>
                <w:sz w:val="20"/>
                <w:szCs w:val="20"/>
              </w:rPr>
              <w:t>公章</w:t>
            </w:r>
            <w:r>
              <w:rPr>
                <w:rFonts w:hint="eastAsia" w:ascii="宋体" w:hAnsi="宋体" w:eastAsia="宋体" w:cs="宋体"/>
                <w:b/>
                <w:bCs w:val="0"/>
                <w:kern w:val="0"/>
                <w:sz w:val="20"/>
                <w:szCs w:val="20"/>
                <w:lang w:eastAsia="zh-CN"/>
              </w:rPr>
              <w:t>；</w:t>
            </w:r>
            <w:r>
              <w:rPr>
                <w:rFonts w:hint="eastAsia" w:ascii="宋体" w:hAnsi="宋体" w:eastAsia="宋体" w:cs="宋体"/>
                <w:b/>
                <w:bCs w:val="0"/>
                <w:kern w:val="0"/>
                <w:sz w:val="20"/>
                <w:szCs w:val="20"/>
                <w:lang w:val="en-US" w:eastAsia="zh-CN"/>
              </w:rPr>
              <w:t>2.</w:t>
            </w:r>
            <w:r>
              <w:rPr>
                <w:rFonts w:hint="eastAsia" w:ascii="宋体" w:hAnsi="宋体" w:eastAsia="宋体" w:cs="宋体"/>
                <w:b/>
                <w:bCs w:val="0"/>
                <w:kern w:val="0"/>
                <w:sz w:val="20"/>
                <w:szCs w:val="20"/>
              </w:rPr>
              <w:t>标★项须提供具有CNAS标识的检测报告复印件并加盖</w:t>
            </w:r>
            <w:r>
              <w:rPr>
                <w:rFonts w:hint="eastAsia" w:ascii="宋体" w:hAnsi="宋体" w:eastAsia="宋体" w:cs="宋体"/>
                <w:b/>
                <w:bCs w:val="0"/>
                <w:kern w:val="0"/>
                <w:sz w:val="20"/>
                <w:szCs w:val="20"/>
                <w:lang w:eastAsia="zh-CN"/>
              </w:rPr>
              <w:t>制造商</w:t>
            </w:r>
            <w:r>
              <w:rPr>
                <w:rFonts w:hint="eastAsia" w:ascii="宋体" w:hAnsi="宋体" w:eastAsia="宋体" w:cs="宋体"/>
                <w:b/>
                <w:bCs w:val="0"/>
                <w:kern w:val="0"/>
                <w:sz w:val="20"/>
                <w:szCs w:val="20"/>
              </w:rPr>
              <w:t>公章</w:t>
            </w:r>
            <w:r>
              <w:rPr>
                <w:rFonts w:hint="eastAsia" w:ascii="宋体" w:hAnsi="宋体" w:eastAsia="宋体" w:cs="宋体"/>
                <w:b/>
                <w:bCs w:val="0"/>
                <w:kern w:val="0"/>
                <w:sz w:val="20"/>
                <w:szCs w:val="20"/>
                <w:lang w:eastAsia="zh-CN"/>
              </w:rPr>
              <w:t>，以上相关材料证明和检测报告须在验收前提供，否则不予以验收。若验收不合格采购人有权要求成交人改正，</w:t>
            </w:r>
            <w:r>
              <w:rPr>
                <w:rFonts w:hint="eastAsia" w:ascii="宋体" w:hAnsi="宋体" w:eastAsia="宋体" w:cs="宋体"/>
                <w:b/>
                <w:bCs w:val="0"/>
                <w:kern w:val="0"/>
                <w:sz w:val="20"/>
                <w:szCs w:val="20"/>
              </w:rPr>
              <w:t>如</w:t>
            </w:r>
            <w:r>
              <w:rPr>
                <w:rFonts w:hint="eastAsia" w:ascii="宋体" w:hAnsi="宋体" w:eastAsia="宋体" w:cs="宋体"/>
                <w:b/>
                <w:bCs w:val="0"/>
                <w:kern w:val="0"/>
                <w:sz w:val="20"/>
                <w:szCs w:val="20"/>
                <w:lang w:eastAsia="zh-CN"/>
              </w:rPr>
              <w:t>改正后仍不合格</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eastAsia="zh-CN"/>
              </w:rPr>
              <w:t>采购人</w:t>
            </w:r>
            <w:r>
              <w:rPr>
                <w:rFonts w:hint="eastAsia" w:ascii="宋体" w:hAnsi="宋体" w:eastAsia="宋体" w:cs="宋体"/>
                <w:b/>
                <w:bCs w:val="0"/>
                <w:kern w:val="0"/>
                <w:sz w:val="20"/>
                <w:szCs w:val="20"/>
              </w:rPr>
              <w:t>将</w:t>
            </w:r>
            <w:r>
              <w:rPr>
                <w:rFonts w:hint="eastAsia" w:ascii="宋体" w:hAnsi="宋体" w:eastAsia="宋体" w:cs="宋体"/>
                <w:b/>
                <w:bCs w:val="0"/>
                <w:kern w:val="0"/>
                <w:sz w:val="20"/>
                <w:szCs w:val="20"/>
                <w:lang w:eastAsia="zh-CN"/>
              </w:rPr>
              <w:t>终止合同</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eastAsia="zh-CN"/>
              </w:rPr>
              <w:t>成交人</w:t>
            </w:r>
            <w:r>
              <w:rPr>
                <w:rFonts w:hint="eastAsia" w:ascii="宋体" w:hAnsi="宋体" w:eastAsia="宋体" w:cs="宋体"/>
                <w:b/>
                <w:bCs w:val="0"/>
                <w:kern w:val="0"/>
                <w:sz w:val="20"/>
                <w:szCs w:val="20"/>
              </w:rPr>
              <w:t>将承担由此带来的一切法律责任和后果。</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CellMar>
            <w:top w:w="0" w:type="dxa"/>
            <w:left w:w="108" w:type="dxa"/>
            <w:bottom w:w="0" w:type="dxa"/>
            <w:right w:w="108" w:type="dxa"/>
          </w:tblCellMar>
        </w:tblPrEx>
        <w:trPr>
          <w:trHeight w:val="9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视频展台</w:t>
            </w:r>
          </w:p>
        </w:tc>
        <w:tc>
          <w:tcPr>
            <w:tcW w:w="3442" w:type="pct"/>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1.壁挂箱体采用铝合金外壳，美观耐用，四周无锐角无利边设计，关注师生安全。</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2.文稿展示区域采用三折叠式开合托板，展开后托板≥A4面积，高效利用挂墙面积。</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rPr>
              <w:t>3.展台像素：采用1200万像素自动对焦镜头，最高分辨率3840*2880。</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4</w:t>
            </w:r>
            <w:r>
              <w:rPr>
                <w:rFonts w:hint="eastAsia" w:ascii="宋体" w:hAnsi="宋体" w:eastAsia="宋体" w:cs="宋体"/>
                <w:bCs/>
                <w:kern w:val="0"/>
                <w:sz w:val="20"/>
                <w:szCs w:val="20"/>
              </w:rPr>
              <w:t>.箱体面板上可以触摸一键启动软件，</w:t>
            </w:r>
            <w:r>
              <w:rPr>
                <w:rFonts w:hint="eastAsia" w:ascii="宋体" w:hAnsi="宋体" w:eastAsia="宋体" w:cs="宋体"/>
                <w:bCs/>
                <w:kern w:val="0"/>
                <w:sz w:val="20"/>
                <w:szCs w:val="20"/>
                <w:lang w:val="en-US" w:eastAsia="zh-CN"/>
              </w:rPr>
              <w:t>有</w:t>
            </w:r>
            <w:r>
              <w:rPr>
                <w:rFonts w:hint="eastAsia" w:ascii="宋体" w:hAnsi="宋体" w:eastAsia="宋体" w:cs="宋体"/>
                <w:bCs/>
                <w:kern w:val="0"/>
                <w:sz w:val="20"/>
                <w:szCs w:val="20"/>
              </w:rPr>
              <w:t>放大、缩小、旋转、拍照功能。</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5</w:t>
            </w:r>
            <w:r>
              <w:rPr>
                <w:rFonts w:hint="eastAsia" w:ascii="宋体" w:hAnsi="宋体" w:eastAsia="宋体" w:cs="宋体"/>
                <w:bCs/>
                <w:kern w:val="0"/>
                <w:sz w:val="20"/>
                <w:szCs w:val="20"/>
              </w:rPr>
              <w:t>.整机自带LED补光灯，可</w:t>
            </w:r>
            <w:r>
              <w:rPr>
                <w:rFonts w:hint="eastAsia" w:ascii="宋体" w:hAnsi="宋体" w:eastAsia="宋体" w:cs="宋体"/>
                <w:bCs/>
                <w:kern w:val="0"/>
                <w:sz w:val="20"/>
                <w:szCs w:val="20"/>
                <w:lang w:val="en-US" w:eastAsia="zh-CN"/>
              </w:rPr>
              <w:t>调节</w:t>
            </w:r>
            <w:r>
              <w:rPr>
                <w:rFonts w:hint="eastAsia" w:ascii="宋体" w:hAnsi="宋体" w:eastAsia="宋体" w:cs="宋体"/>
                <w:bCs/>
                <w:kern w:val="0"/>
                <w:sz w:val="20"/>
                <w:szCs w:val="20"/>
              </w:rPr>
              <w:t>灯光。</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6</w:t>
            </w:r>
            <w:r>
              <w:rPr>
                <w:rFonts w:hint="eastAsia" w:ascii="宋体" w:hAnsi="宋体" w:eastAsia="宋体" w:cs="宋体"/>
                <w:bCs/>
                <w:kern w:val="0"/>
                <w:sz w:val="20"/>
                <w:szCs w:val="20"/>
              </w:rPr>
              <w:t>.对焦方式：</w:t>
            </w:r>
            <w:r>
              <w:rPr>
                <w:rFonts w:hint="eastAsia" w:ascii="宋体" w:hAnsi="宋体" w:eastAsia="宋体" w:cs="宋体"/>
                <w:bCs/>
                <w:kern w:val="0"/>
                <w:sz w:val="20"/>
                <w:szCs w:val="20"/>
                <w:lang w:val="en-US" w:eastAsia="zh-CN"/>
              </w:rPr>
              <w:t>提供</w:t>
            </w:r>
            <w:r>
              <w:rPr>
                <w:rFonts w:hint="eastAsia" w:ascii="宋体" w:hAnsi="宋体" w:eastAsia="宋体" w:cs="宋体"/>
                <w:bCs/>
                <w:kern w:val="0"/>
                <w:sz w:val="20"/>
                <w:szCs w:val="20"/>
              </w:rPr>
              <w:t>对焦技术，避免画面展示过程中由于纸张移动或阴影变化反复对焦。</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7</w:t>
            </w:r>
            <w:r>
              <w:rPr>
                <w:rFonts w:hint="eastAsia" w:ascii="宋体" w:hAnsi="宋体" w:eastAsia="宋体" w:cs="宋体"/>
                <w:bCs/>
                <w:kern w:val="0"/>
                <w:sz w:val="20"/>
                <w:szCs w:val="20"/>
              </w:rPr>
              <w:t>.展台按键均采用电容式触摸控制，无缝防尘，使用寿命长。</w:t>
            </w:r>
          </w:p>
          <w:p>
            <w:pPr>
              <w:spacing w:line="276" w:lineRule="auto"/>
              <w:jc w:val="left"/>
              <w:rPr>
                <w:rFonts w:hint="eastAsia" w:ascii="宋体" w:hAnsi="宋体" w:eastAsia="宋体" w:cs="宋体"/>
                <w:bCs/>
                <w:kern w:val="0"/>
                <w:sz w:val="20"/>
                <w:szCs w:val="20"/>
              </w:rPr>
            </w:pPr>
            <w:r>
              <w:rPr>
                <w:rFonts w:hint="eastAsia" w:ascii="宋体" w:hAnsi="宋体" w:eastAsia="宋体" w:cs="宋体"/>
                <w:bCs/>
                <w:kern w:val="0"/>
                <w:sz w:val="20"/>
                <w:szCs w:val="20"/>
                <w:lang w:val="en-US" w:eastAsia="zh-CN"/>
              </w:rPr>
              <w:t>8</w:t>
            </w:r>
            <w:r>
              <w:rPr>
                <w:rFonts w:hint="eastAsia" w:ascii="宋体" w:hAnsi="宋体" w:eastAsia="宋体" w:cs="宋体"/>
                <w:bCs/>
                <w:kern w:val="0"/>
                <w:sz w:val="20"/>
                <w:szCs w:val="20"/>
              </w:rPr>
              <w:t>.界面与各功能图标内嵌中文，清晰易用，老师不用查阅帮助就能使用，减少误操作。</w:t>
            </w:r>
          </w:p>
          <w:p>
            <w:pPr>
              <w:spacing w:line="276" w:lineRule="auto"/>
              <w:jc w:val="left"/>
              <w:rPr>
                <w:rFonts w:hint="eastAsia" w:ascii="宋体" w:hAnsi="宋体" w:eastAsia="宋体" w:cs="宋体"/>
                <w:bCs/>
                <w:kern w:val="0"/>
                <w:sz w:val="20"/>
                <w:szCs w:val="20"/>
                <w:lang w:val="en-US" w:eastAsia="zh-CN"/>
              </w:rPr>
            </w:pPr>
            <w:r>
              <w:rPr>
                <w:rFonts w:hint="eastAsia" w:ascii="宋体" w:hAnsi="宋体" w:eastAsia="宋体" w:cs="宋体"/>
                <w:b/>
                <w:bCs w:val="0"/>
                <w:kern w:val="0"/>
                <w:sz w:val="20"/>
                <w:szCs w:val="20"/>
                <w:lang w:eastAsia="zh-CN"/>
              </w:rPr>
              <w:t>备注：成交人</w:t>
            </w:r>
            <w:r>
              <w:rPr>
                <w:rFonts w:hint="eastAsia" w:ascii="宋体" w:hAnsi="宋体" w:eastAsia="宋体" w:cs="宋体"/>
                <w:b/>
                <w:bCs w:val="0"/>
                <w:kern w:val="0"/>
                <w:sz w:val="20"/>
                <w:szCs w:val="20"/>
              </w:rPr>
              <w:t>在</w:t>
            </w:r>
            <w:r>
              <w:rPr>
                <w:rFonts w:hint="eastAsia" w:ascii="宋体" w:hAnsi="宋体" w:eastAsia="宋体" w:cs="宋体"/>
                <w:b/>
                <w:bCs w:val="0"/>
                <w:kern w:val="0"/>
                <w:sz w:val="20"/>
                <w:szCs w:val="20"/>
                <w:lang w:eastAsia="zh-CN"/>
              </w:rPr>
              <w:t>供货后</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val="en-US" w:eastAsia="zh-CN"/>
              </w:rPr>
              <w:t>1.</w:t>
            </w:r>
            <w:r>
              <w:rPr>
                <w:rFonts w:hint="eastAsia" w:ascii="宋体" w:hAnsi="宋体" w:eastAsia="宋体" w:cs="宋体"/>
                <w:b/>
                <w:bCs w:val="0"/>
                <w:kern w:val="0"/>
                <w:sz w:val="20"/>
                <w:szCs w:val="20"/>
              </w:rPr>
              <w:t>按采购人的要求对所</w:t>
            </w:r>
            <w:r>
              <w:rPr>
                <w:rFonts w:hint="eastAsia" w:ascii="宋体" w:hAnsi="宋体" w:eastAsia="宋体" w:cs="宋体"/>
                <w:b/>
                <w:bCs w:val="0"/>
                <w:kern w:val="0"/>
                <w:sz w:val="20"/>
                <w:szCs w:val="20"/>
                <w:lang w:eastAsia="zh-CN"/>
              </w:rPr>
              <w:t>提供产品</w:t>
            </w:r>
            <w:r>
              <w:rPr>
                <w:rFonts w:hint="eastAsia" w:ascii="宋体" w:hAnsi="宋体" w:eastAsia="宋体" w:cs="宋体"/>
                <w:b/>
                <w:bCs w:val="0"/>
                <w:kern w:val="0"/>
                <w:sz w:val="20"/>
                <w:szCs w:val="20"/>
              </w:rPr>
              <w:t>的技术参数进行逐项演示，现场不满足演示条件的技术参数应提供相关材料证明并加盖</w:t>
            </w:r>
            <w:r>
              <w:rPr>
                <w:rFonts w:hint="eastAsia" w:ascii="宋体" w:hAnsi="宋体" w:eastAsia="宋体" w:cs="宋体"/>
                <w:b/>
                <w:bCs w:val="0"/>
                <w:kern w:val="0"/>
                <w:sz w:val="20"/>
                <w:szCs w:val="20"/>
                <w:lang w:eastAsia="zh-CN"/>
              </w:rPr>
              <w:t>制造商</w:t>
            </w:r>
            <w:r>
              <w:rPr>
                <w:rFonts w:hint="eastAsia" w:ascii="宋体" w:hAnsi="宋体" w:eastAsia="宋体" w:cs="宋体"/>
                <w:b/>
                <w:bCs w:val="0"/>
                <w:kern w:val="0"/>
                <w:sz w:val="20"/>
                <w:szCs w:val="20"/>
              </w:rPr>
              <w:t>公章</w:t>
            </w:r>
            <w:r>
              <w:rPr>
                <w:rFonts w:hint="eastAsia" w:ascii="宋体" w:hAnsi="宋体" w:eastAsia="宋体" w:cs="宋体"/>
                <w:b/>
                <w:bCs w:val="0"/>
                <w:kern w:val="0"/>
                <w:sz w:val="20"/>
                <w:szCs w:val="20"/>
                <w:lang w:eastAsia="zh-CN"/>
              </w:rPr>
              <w:t>，以上相关材料证明须在验收前提供，否则不予以验收。若验收不合格采购人有权要求成交人改正，</w:t>
            </w:r>
            <w:r>
              <w:rPr>
                <w:rFonts w:hint="eastAsia" w:ascii="宋体" w:hAnsi="宋体" w:eastAsia="宋体" w:cs="宋体"/>
                <w:b/>
                <w:bCs w:val="0"/>
                <w:kern w:val="0"/>
                <w:sz w:val="20"/>
                <w:szCs w:val="20"/>
              </w:rPr>
              <w:t>如</w:t>
            </w:r>
            <w:r>
              <w:rPr>
                <w:rFonts w:hint="eastAsia" w:ascii="宋体" w:hAnsi="宋体" w:eastAsia="宋体" w:cs="宋体"/>
                <w:b/>
                <w:bCs w:val="0"/>
                <w:kern w:val="0"/>
                <w:sz w:val="20"/>
                <w:szCs w:val="20"/>
                <w:lang w:eastAsia="zh-CN"/>
              </w:rPr>
              <w:t>改正后仍不合格</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eastAsia="zh-CN"/>
              </w:rPr>
              <w:t>采购人</w:t>
            </w:r>
            <w:r>
              <w:rPr>
                <w:rFonts w:hint="eastAsia" w:ascii="宋体" w:hAnsi="宋体" w:eastAsia="宋体" w:cs="宋体"/>
                <w:b/>
                <w:bCs w:val="0"/>
                <w:kern w:val="0"/>
                <w:sz w:val="20"/>
                <w:szCs w:val="20"/>
              </w:rPr>
              <w:t>将</w:t>
            </w:r>
            <w:r>
              <w:rPr>
                <w:rFonts w:hint="eastAsia" w:ascii="宋体" w:hAnsi="宋体" w:eastAsia="宋体" w:cs="宋体"/>
                <w:b/>
                <w:bCs w:val="0"/>
                <w:kern w:val="0"/>
                <w:sz w:val="20"/>
                <w:szCs w:val="20"/>
                <w:lang w:eastAsia="zh-CN"/>
              </w:rPr>
              <w:t>终止合同</w:t>
            </w:r>
            <w:r>
              <w:rPr>
                <w:rFonts w:hint="eastAsia" w:ascii="宋体" w:hAnsi="宋体" w:eastAsia="宋体" w:cs="宋体"/>
                <w:b/>
                <w:bCs w:val="0"/>
                <w:kern w:val="0"/>
                <w:sz w:val="20"/>
                <w:szCs w:val="20"/>
              </w:rPr>
              <w:t>，</w:t>
            </w:r>
            <w:r>
              <w:rPr>
                <w:rFonts w:hint="eastAsia" w:ascii="宋体" w:hAnsi="宋体" w:eastAsia="宋体" w:cs="宋体"/>
                <w:b/>
                <w:bCs w:val="0"/>
                <w:kern w:val="0"/>
                <w:sz w:val="20"/>
                <w:szCs w:val="20"/>
                <w:lang w:eastAsia="zh-CN"/>
              </w:rPr>
              <w:t>成交人</w:t>
            </w:r>
            <w:r>
              <w:rPr>
                <w:rFonts w:hint="eastAsia" w:ascii="宋体" w:hAnsi="宋体" w:eastAsia="宋体" w:cs="宋体"/>
                <w:b/>
                <w:bCs w:val="0"/>
                <w:kern w:val="0"/>
                <w:sz w:val="20"/>
                <w:szCs w:val="20"/>
              </w:rPr>
              <w:t>将承担由此带来的一切法律责任和后果。</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w:t>
            </w:r>
          </w:p>
        </w:tc>
      </w:tr>
      <w:tr>
        <w:tblPrEx>
          <w:tblCellMar>
            <w:top w:w="0" w:type="dxa"/>
            <w:left w:w="108" w:type="dxa"/>
            <w:bottom w:w="0" w:type="dxa"/>
            <w:right w:w="108" w:type="dxa"/>
          </w:tblCellMar>
        </w:tblPrEx>
        <w:trPr>
          <w:trHeight w:val="83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扩声系统</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1、5英寸全频扬声器，额定功率30W</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2、内置DSP数字音频处理，提升音质的同时，具备数字防啸叫算法</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3、录播输入RCA接口，立体声输入，可将录播主机线路输出接入此接口</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4、AUX输入RCA接口，立体声输入，可将智慧黑板、一体机等声音接入此接口</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5、支持蓝牙音频输入，可内置UHF数字多功能麦克风</w:t>
            </w:r>
            <w:r>
              <w:rPr>
                <w:rFonts w:hint="eastAsia" w:ascii="宋体" w:hAnsi="宋体" w:eastAsia="宋体" w:cs="宋体"/>
                <w:color w:val="auto"/>
                <w:kern w:val="0"/>
                <w:sz w:val="20"/>
                <w:szCs w:val="20"/>
                <w:highlight w:val="none"/>
                <w:lang w:bidi="ar"/>
              </w:rPr>
              <w:tab/>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话筒：</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1、频率范围:640-690MHz</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2、信道数目:50</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3、Type-C:设备充电接口</w:t>
            </w:r>
          </w:p>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4、3.5mm输入:头戴麦克风接口</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w:t>
            </w:r>
          </w:p>
        </w:tc>
      </w:tr>
      <w:tr>
        <w:tblPrEx>
          <w:tblCellMar>
            <w:top w:w="0" w:type="dxa"/>
            <w:left w:w="108" w:type="dxa"/>
            <w:bottom w:w="0" w:type="dxa"/>
            <w:right w:w="108" w:type="dxa"/>
          </w:tblCellMar>
        </w:tblPrEx>
        <w:trPr>
          <w:trHeight w:val="29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4</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多媒体讲台</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1、规格：1200mm*650mm*1020mm；</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2、材质：钢木结构，台面为厚度12mm高密度板，扶桌面为防静电材质，具备耐磨、耐潮湿、防火、防菌特性。整体外观流线型设计，防磕碰、美观大方。</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3、可拆卸，易安装，易运输，整体外观造型简洁易用。</w:t>
            </w:r>
          </w:p>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4、上柜前方留有储物抽屉，留有拉手并带安全锁，可放置教学用品。下柜前方留有一主机小门，后方有检修门，一把钥匙控制所有锁，施工、维护作业便捷。</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台</w:t>
            </w:r>
          </w:p>
        </w:tc>
      </w:tr>
      <w:tr>
        <w:tblPrEx>
          <w:tblCellMar>
            <w:top w:w="0" w:type="dxa"/>
            <w:left w:w="108" w:type="dxa"/>
            <w:bottom w:w="0" w:type="dxa"/>
            <w:right w:w="108" w:type="dxa"/>
          </w:tblCellMar>
        </w:tblPrEx>
        <w:trPr>
          <w:trHeight w:val="441"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辅材及安装调试</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VGA线或HDMI线、电源线、控制线、分屏器、转接头、USB延长线等；安装要求：</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1、安装牢固，不易晃动；电源线、数据线需捆扎；布线应充分考虑小学学校特殊环境，线槽、布线必须牢固，不易损坏；</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2、国标优质线材辅材；</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3、布线、设备安装必须充分考虑安全因素和整体效果；</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4、线槽、扎带、胶布、插排等一切工程辅材及系统集成费。</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CellMar>
            <w:top w:w="0" w:type="dxa"/>
            <w:left w:w="108" w:type="dxa"/>
            <w:bottom w:w="0" w:type="dxa"/>
            <w:right w:w="108" w:type="dxa"/>
          </w:tblCellMar>
        </w:tblPrEx>
        <w:trPr>
          <w:trHeight w:val="62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both"/>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智慧照明系统</w:t>
            </w:r>
          </w:p>
        </w:tc>
      </w:tr>
      <w:tr>
        <w:tblPrEx>
          <w:tblCellMar>
            <w:top w:w="0" w:type="dxa"/>
            <w:left w:w="108" w:type="dxa"/>
            <w:bottom w:w="0" w:type="dxa"/>
            <w:right w:w="108" w:type="dxa"/>
          </w:tblCellMar>
        </w:tblPrEx>
        <w:trPr>
          <w:trHeight w:val="1831"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护眼LED教室灯</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1、LED教室灯长≥1100mm，宽≥280mm；采用铝型材无缝焊接后喷涂防护处理；采用微棱晶防眩光设计；</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2、LED教室灯功率36±5W，功率因数≥0.90；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3、LED教室灯显色指数Ra≥90；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4、LED教室灯显色指数R9≥50；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5、LED教室灯色温在5000±300K区间，色容差＜5；</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lang w:val="en-US" w:eastAsia="zh-CN"/>
              </w:rPr>
              <w:t>6、LED教室灯频闪无危害；</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18</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盏</w:t>
            </w:r>
          </w:p>
        </w:tc>
      </w:tr>
      <w:tr>
        <w:tblPrEx>
          <w:tblCellMar>
            <w:top w:w="0" w:type="dxa"/>
            <w:left w:w="108" w:type="dxa"/>
            <w:bottom w:w="0" w:type="dxa"/>
            <w:right w:w="108" w:type="dxa"/>
          </w:tblCellMar>
        </w:tblPrEx>
        <w:trPr>
          <w:trHeight w:val="185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护眼LED黑板灯</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1、LED黑板灯尺寸：长≥1100mm，宽≥50mm；灯体使用一体拉伸铝型材，表面阳极氧化处理；采用高精密度透镜配光设计；</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2、LED黑板灯功率36±5W，功率因数≥0.90；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3、LED黑板灯显色指数Ra≥90；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4、LED黑板灯显色指数R9≥50；</w:t>
            </w:r>
          </w:p>
          <w:p>
            <w:pPr>
              <w:keepNext w:val="0"/>
              <w:keepLines w:val="0"/>
              <w:widowControl/>
              <w:suppressLineNumbers w:val="0"/>
              <w:tabs>
                <w:tab w:val="left" w:pos="0"/>
              </w:tabs>
              <w:ind w:left="0" w:leftChars="0" w:firstLine="0" w:firstLineChars="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5、LED黑板灯色温在5000±300K区间，色容差＜5；</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lang w:val="en-US" w:eastAsia="zh-CN"/>
              </w:rPr>
              <w:t>6、LED黑板灯教室灯频闪无危害；</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6</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盏</w:t>
            </w:r>
          </w:p>
        </w:tc>
      </w:tr>
      <w:tr>
        <w:tblPrEx>
          <w:tblCellMar>
            <w:top w:w="0" w:type="dxa"/>
            <w:left w:w="108" w:type="dxa"/>
            <w:bottom w:w="0" w:type="dxa"/>
            <w:right w:w="108" w:type="dxa"/>
          </w:tblCellMar>
        </w:tblPrEx>
        <w:trPr>
          <w:trHeight w:val="313"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控制面板</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通过3C认证、非回料阻燃PC材质外壳、多开单控。</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r>
        <w:tblPrEx>
          <w:tblCellMar>
            <w:top w:w="0" w:type="dxa"/>
            <w:left w:w="108" w:type="dxa"/>
            <w:bottom w:w="0" w:type="dxa"/>
            <w:right w:w="108" w:type="dxa"/>
          </w:tblCellMar>
        </w:tblPrEx>
        <w:trPr>
          <w:trHeight w:val="569"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4</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辅材及安装调试</w:t>
            </w:r>
          </w:p>
        </w:tc>
        <w:tc>
          <w:tcPr>
            <w:tcW w:w="3442" w:type="pct"/>
            <w:tcBorders>
              <w:top w:val="single" w:color="000000" w:sz="4" w:space="0"/>
              <w:left w:val="single" w:color="000000" w:sz="4" w:space="0"/>
              <w:bottom w:val="single" w:color="000000" w:sz="4" w:space="0"/>
              <w:right w:val="single" w:color="000000" w:sz="4" w:space="0"/>
            </w:tcBorders>
            <w:noWrap w:val="0"/>
            <w:vAlign w:val="top"/>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线路敷设，安装、调试。</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项</w:t>
            </w:r>
          </w:p>
        </w:tc>
      </w:tr>
      <w:tr>
        <w:tblPrEx>
          <w:tblCellMar>
            <w:top w:w="0" w:type="dxa"/>
            <w:left w:w="108" w:type="dxa"/>
            <w:bottom w:w="0" w:type="dxa"/>
            <w:right w:w="108" w:type="dxa"/>
          </w:tblCellMar>
        </w:tblPrEx>
        <w:trPr>
          <w:trHeight w:val="367"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学生桌椅</w:t>
            </w:r>
          </w:p>
        </w:tc>
      </w:tr>
      <w:tr>
        <w:tblPrEx>
          <w:tblCellMar>
            <w:top w:w="0" w:type="dxa"/>
            <w:left w:w="108" w:type="dxa"/>
            <w:bottom w:w="0" w:type="dxa"/>
            <w:right w:w="108" w:type="dxa"/>
          </w:tblCellMar>
        </w:tblPrEx>
        <w:trPr>
          <w:trHeight w:val="965"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学生课桌椅</w:t>
            </w:r>
          </w:p>
        </w:tc>
        <w:tc>
          <w:tcPr>
            <w:tcW w:w="3442"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塑钢课桌：660mm*460mm*25mm（桌高：630mm-780mm）。</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课椅：座垫430mm*390mm，靠背433mm*360mm*(座高：320mm-440mm)。</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1.桌面尺寸：长660mm*宽460mm*厚25mm，采用ABS塑料一级新料一体射出成型，耐冲击强度，面板前端设置一冂字型3mm高防滑落凸条并设有笔槽长520mm*宽20mm；</w:t>
            </w:r>
          </w:p>
          <w:p>
            <w:pPr>
              <w:widowControl/>
              <w:tabs>
                <w:tab w:val="left" w:pos="0"/>
              </w:tabs>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2.桌斗要求：外径尺寸：610mm*410mm*160mm，内径尺寸：450mm*360mm*145mm，采用PP塑料一级新料一体射出成型，不得采用回收料生产；</w:t>
            </w:r>
          </w:p>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椅面：采用PP塑料一级新料一体射出成型，不得采用回收料生产，椅子坐垫：长430mm*宽390mm，靠背：长433mm*宽360mm，靠背带有手握形提孔设计，规格:长100mm*宽43mm±2mm方便移动，质量要求：耐冲击，耐抗压，耐磨，达到环保要求，靠背及坐垫带有弧形及五环透气孔设计，使其免于侧弯、透气，符合人体工程学及学生脊椎设计。（外观尺寸偏差范围允许±3mm，材料厚度不允许负偏离）。</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0"/>
              </w:tabs>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bl>
    <w:p>
      <w:pPr>
        <w:spacing w:line="360" w:lineRule="auto"/>
        <w:rPr>
          <w:rFonts w:hint="eastAsia" w:ascii="宋体" w:cs="宋体"/>
          <w:b/>
          <w:bCs/>
          <w:color w:val="auto"/>
          <w:sz w:val="24"/>
          <w:szCs w:val="24"/>
          <w:highlight w:val="none"/>
        </w:rPr>
      </w:pPr>
      <w:r>
        <w:rPr>
          <w:rFonts w:hint="eastAsia" w:ascii="宋体" w:cs="宋体"/>
          <w:b/>
          <w:bCs/>
          <w:color w:val="auto"/>
          <w:sz w:val="24"/>
          <w:szCs w:val="24"/>
          <w:highlight w:val="none"/>
        </w:rPr>
        <w:t>说明：</w:t>
      </w:r>
    </w:p>
    <w:p>
      <w:pPr>
        <w:pStyle w:val="19"/>
        <w:spacing w:after="0" w:line="360" w:lineRule="auto"/>
        <w:ind w:left="0" w:leftChars="0" w:firstLine="482"/>
        <w:rPr>
          <w:rFonts w:hint="eastAsia" w:ascii="宋体" w:cs="宋体"/>
          <w:b/>
          <w:bCs/>
          <w:color w:val="auto"/>
          <w:sz w:val="24"/>
          <w:highlight w:val="none"/>
        </w:rPr>
      </w:pPr>
      <w:r>
        <w:rPr>
          <w:rFonts w:hint="eastAsia" w:ascii="宋体" w:cs="宋体"/>
          <w:b/>
          <w:bCs/>
          <w:color w:val="auto"/>
          <w:sz w:val="24"/>
          <w:highlight w:val="none"/>
        </w:rPr>
        <w:t>1、投标人的投标文件必须标明所投货物的品牌与参数，保证原厂正品供货。</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cs="宋体"/>
          <w:b/>
          <w:bCs/>
          <w:color w:val="auto"/>
          <w:sz w:val="24"/>
          <w:szCs w:val="24"/>
          <w:highlight w:val="none"/>
        </w:rPr>
      </w:pPr>
      <w:r>
        <w:rPr>
          <w:rFonts w:hint="eastAsia" w:ascii="宋体" w:cs="宋体"/>
          <w:b/>
          <w:bCs/>
          <w:color w:val="auto"/>
          <w:sz w:val="24"/>
          <w:szCs w:val="24"/>
          <w:highlight w:val="none"/>
        </w:rPr>
        <w:t>2、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二、安装验收要求</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1、安装调试</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货物安装在采购人指定地点，</w:t>
      </w:r>
      <w:r>
        <w:rPr>
          <w:rFonts w:hint="eastAsia" w:hAnsi="宋体"/>
          <w:color w:val="auto"/>
          <w:sz w:val="24"/>
          <w:szCs w:val="24"/>
          <w:highlight w:val="none"/>
          <w:lang w:val="en-US" w:eastAsia="zh-CN"/>
        </w:rPr>
        <w:t>签订合同后5日历天内交货安装调试完毕</w:t>
      </w:r>
      <w:r>
        <w:rPr>
          <w:rFonts w:hint="eastAsia" w:hAnsi="宋体"/>
          <w:color w:val="auto"/>
          <w:sz w:val="24"/>
          <w:szCs w:val="24"/>
          <w:highlight w:val="none"/>
        </w:rPr>
        <w:t>。</w:t>
      </w:r>
    </w:p>
    <w:p>
      <w:pPr>
        <w:numPr>
          <w:ilvl w:val="0"/>
          <w:numId w:val="2"/>
        </w:num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验收</w:t>
      </w:r>
    </w:p>
    <w:p>
      <w:pPr>
        <w:numPr>
          <w:ilvl w:val="0"/>
          <w:numId w:val="0"/>
        </w:numPr>
        <w:spacing w:line="360" w:lineRule="auto"/>
        <w:ind w:firstLine="480" w:firstLineChars="200"/>
        <w:rPr>
          <w:rFonts w:hint="eastAsia" w:hAnsi="宋体"/>
          <w:color w:val="auto"/>
          <w:sz w:val="24"/>
          <w:szCs w:val="24"/>
          <w:highlight w:val="none"/>
        </w:rPr>
      </w:pPr>
      <w:r>
        <w:rPr>
          <w:rFonts w:hint="eastAsia" w:ascii="Times New Roman" w:hAnsi="宋体" w:eastAsia="宋体" w:cs="Times New Roman"/>
          <w:color w:val="auto"/>
          <w:kern w:val="2"/>
          <w:sz w:val="24"/>
          <w:szCs w:val="24"/>
          <w:highlight w:val="none"/>
          <w:lang w:val="en-US" w:eastAsia="zh-CN" w:bidi="ar-SA"/>
        </w:rPr>
        <w:t>（1）</w:t>
      </w:r>
      <w:r>
        <w:rPr>
          <w:rFonts w:hint="eastAsia" w:hAnsi="宋体"/>
          <w:color w:val="auto"/>
          <w:sz w:val="24"/>
          <w:szCs w:val="24"/>
          <w:highlight w:val="none"/>
          <w:lang w:val="en-US" w:eastAsia="zh-CN"/>
        </w:rPr>
        <w:t>成交人和采购人双方共同实施验收工作，结果和验收报告经双方确认后生效</w:t>
      </w:r>
      <w:r>
        <w:rPr>
          <w:rFonts w:hint="eastAsia" w:hAnsi="宋体"/>
          <w:color w:val="auto"/>
          <w:sz w:val="24"/>
          <w:szCs w:val="24"/>
          <w:highlight w:val="none"/>
        </w:rPr>
        <w:t>，货物投入使用。</w:t>
      </w:r>
    </w:p>
    <w:p>
      <w:pPr>
        <w:spacing w:line="360" w:lineRule="auto"/>
        <w:ind w:firstLine="480" w:firstLineChars="200"/>
        <w:rPr>
          <w:rFonts w:hAnsi="宋体"/>
          <w:color w:val="auto"/>
          <w:sz w:val="24"/>
          <w:szCs w:val="24"/>
          <w:highlight w:val="none"/>
        </w:rPr>
      </w:pPr>
      <w:r>
        <w:rPr>
          <w:rFonts w:hint="eastAsia" w:ascii="Times New Roman" w:hAnsi="宋体" w:eastAsia="宋体" w:cs="Times New Roman"/>
          <w:color w:val="auto"/>
          <w:kern w:val="2"/>
          <w:sz w:val="24"/>
          <w:szCs w:val="24"/>
          <w:highlight w:val="none"/>
          <w:lang w:val="en-US" w:eastAsia="zh-CN" w:bidi="ar-SA"/>
        </w:rPr>
        <w:t>（2）</w:t>
      </w:r>
      <w:r>
        <w:rPr>
          <w:rFonts w:hint="eastAsia" w:hAnsi="宋体"/>
          <w:color w:val="auto"/>
          <w:sz w:val="24"/>
          <w:szCs w:val="24"/>
          <w:highlight w:val="none"/>
        </w:rPr>
        <w:t>验收依据合同、</w:t>
      </w:r>
      <w:r>
        <w:rPr>
          <w:rFonts w:hint="eastAsia" w:hAnsi="宋体"/>
          <w:color w:val="auto"/>
          <w:sz w:val="24"/>
          <w:szCs w:val="24"/>
          <w:highlight w:val="none"/>
          <w:lang w:eastAsia="zh-CN"/>
        </w:rPr>
        <w:t>竞争性谈判文件</w:t>
      </w:r>
      <w:r>
        <w:rPr>
          <w:rFonts w:hint="eastAsia" w:hAnsi="宋体"/>
          <w:color w:val="auto"/>
          <w:sz w:val="24"/>
          <w:szCs w:val="24"/>
          <w:highlight w:val="none"/>
        </w:rPr>
        <w:t>、</w:t>
      </w:r>
      <w:r>
        <w:rPr>
          <w:rFonts w:hint="eastAsia" w:hAnsi="宋体"/>
          <w:color w:val="auto"/>
          <w:sz w:val="24"/>
          <w:szCs w:val="24"/>
          <w:highlight w:val="none"/>
          <w:lang w:eastAsia="zh-CN"/>
        </w:rPr>
        <w:t>成交</w:t>
      </w:r>
      <w:r>
        <w:rPr>
          <w:rFonts w:hint="eastAsia" w:hAnsi="宋体"/>
          <w:color w:val="auto"/>
          <w:sz w:val="24"/>
          <w:szCs w:val="24"/>
          <w:highlight w:val="none"/>
        </w:rPr>
        <w:t>供应商投标文件和国家有关标准进行，必要时使用测试专业仪器。</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3、技术资料</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验收前，</w:t>
      </w:r>
      <w:r>
        <w:rPr>
          <w:rFonts w:hint="eastAsia" w:hAnsi="宋体"/>
          <w:color w:val="auto"/>
          <w:sz w:val="24"/>
          <w:szCs w:val="24"/>
          <w:highlight w:val="none"/>
          <w:lang w:eastAsia="zh-CN"/>
        </w:rPr>
        <w:t>成交</w:t>
      </w:r>
      <w:r>
        <w:rPr>
          <w:rFonts w:hint="eastAsia" w:hAnsi="宋体"/>
          <w:color w:val="auto"/>
          <w:sz w:val="24"/>
          <w:szCs w:val="24"/>
          <w:highlight w:val="none"/>
        </w:rPr>
        <w:t>供应商应将全部货物资料装订成册，交采购人进行保管。</w:t>
      </w:r>
    </w:p>
    <w:p>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三、人员培训要求</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货物安装、调试、验收合格后，</w:t>
      </w:r>
      <w:r>
        <w:rPr>
          <w:rFonts w:hint="eastAsia" w:hAnsi="宋体"/>
          <w:color w:val="auto"/>
          <w:sz w:val="24"/>
          <w:szCs w:val="24"/>
          <w:highlight w:val="none"/>
          <w:lang w:eastAsia="zh-CN"/>
        </w:rPr>
        <w:t>成交人</w:t>
      </w:r>
      <w:r>
        <w:rPr>
          <w:rFonts w:hint="eastAsia" w:hAnsi="宋体"/>
          <w:color w:val="auto"/>
          <w:sz w:val="24"/>
          <w:szCs w:val="24"/>
          <w:highlight w:val="none"/>
        </w:rPr>
        <w:t>应对采购单位的相关人员进行免费现场培训。培训内容包括基本操作、保养维修、常见故障及解决办法等。</w:t>
      </w:r>
      <w:bookmarkStart w:id="0" w:name="_Toc375064008"/>
    </w:p>
    <w:p>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四、货物质量及售后服务要求</w:t>
      </w:r>
      <w:bookmarkEnd w:id="0"/>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1、货物质量：</w:t>
      </w:r>
      <w:r>
        <w:rPr>
          <w:rFonts w:hint="eastAsia" w:hAnsi="宋体"/>
          <w:color w:val="auto"/>
          <w:sz w:val="24"/>
          <w:szCs w:val="24"/>
          <w:highlight w:val="none"/>
          <w:lang w:eastAsia="zh-CN"/>
        </w:rPr>
        <w:t>成交人</w:t>
      </w:r>
      <w:r>
        <w:rPr>
          <w:rFonts w:hint="eastAsia" w:hAnsi="宋体"/>
          <w:color w:val="auto"/>
          <w:sz w:val="24"/>
          <w:szCs w:val="24"/>
          <w:highlight w:val="none"/>
        </w:rPr>
        <w:t>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2、质量保证期限：投标人需提供免费质保期</w:t>
      </w:r>
      <w:r>
        <w:rPr>
          <w:rFonts w:hint="eastAsia" w:hAnsi="宋体"/>
          <w:color w:val="auto"/>
          <w:sz w:val="24"/>
          <w:szCs w:val="24"/>
          <w:highlight w:val="none"/>
          <w:lang w:eastAsia="zh-CN"/>
        </w:rPr>
        <w:t>叁</w:t>
      </w:r>
      <w:r>
        <w:rPr>
          <w:rFonts w:hint="eastAsia" w:hAnsi="宋体"/>
          <w:color w:val="auto"/>
          <w:sz w:val="24"/>
          <w:szCs w:val="24"/>
          <w:highlight w:val="none"/>
        </w:rPr>
        <w:t>年，叁年三包服务，质保期及服务期自供货安装完毕、验收合格经双方签字之日起计算。</w:t>
      </w:r>
    </w:p>
    <w:p>
      <w:pPr>
        <w:spacing w:line="360" w:lineRule="auto"/>
        <w:ind w:firstLine="480" w:firstLineChars="200"/>
        <w:rPr>
          <w:rFonts w:hint="eastAsia" w:ascii="Times New Roman" w:hAnsi="宋体" w:cs="Times New Roman"/>
          <w:color w:val="auto"/>
          <w:sz w:val="24"/>
          <w:szCs w:val="24"/>
          <w:highlight w:val="none"/>
        </w:rPr>
      </w:pPr>
      <w:r>
        <w:rPr>
          <w:rFonts w:hint="eastAsia" w:ascii="Times New Roman" w:hAnsi="宋体" w:cs="Times New Roman"/>
          <w:color w:val="auto"/>
          <w:sz w:val="24"/>
          <w:szCs w:val="24"/>
          <w:highlight w:val="none"/>
        </w:rPr>
        <w:t>3、维修响应时间，</w:t>
      </w:r>
      <w:r>
        <w:rPr>
          <w:rFonts w:hint="eastAsia" w:ascii="Times New Roman" w:hAnsi="宋体" w:cs="Times New Roman"/>
          <w:color w:val="auto"/>
          <w:sz w:val="24"/>
          <w:szCs w:val="24"/>
          <w:highlight w:val="none"/>
          <w:lang w:eastAsia="zh-CN"/>
        </w:rPr>
        <w:t>成交人</w:t>
      </w:r>
      <w:r>
        <w:rPr>
          <w:rFonts w:hint="eastAsia" w:ascii="Times New Roman" w:hAnsi="宋体" w:cs="Times New Roman"/>
          <w:color w:val="auto"/>
          <w:sz w:val="24"/>
          <w:szCs w:val="24"/>
          <w:highlight w:val="none"/>
        </w:rPr>
        <w:t>接到采购人报修信息后，提供7*24小时及时响应，4小时到达现场，8小时修复。如不能修复免费提供同等档次备用设备，因</w:t>
      </w:r>
      <w:r>
        <w:rPr>
          <w:rFonts w:hint="eastAsia" w:ascii="Times New Roman" w:hAnsi="宋体" w:cs="Times New Roman"/>
          <w:color w:val="auto"/>
          <w:sz w:val="24"/>
          <w:szCs w:val="24"/>
          <w:highlight w:val="none"/>
          <w:lang w:eastAsia="zh-CN"/>
        </w:rPr>
        <w:t>成交人</w:t>
      </w:r>
      <w:r>
        <w:rPr>
          <w:rFonts w:hint="eastAsia" w:ascii="Times New Roman" w:hAnsi="宋体" w:cs="Times New Roman"/>
          <w:color w:val="auto"/>
          <w:sz w:val="24"/>
          <w:szCs w:val="24"/>
          <w:highlight w:val="none"/>
        </w:rPr>
        <w:t>售后服务不及时而造成损失，</w:t>
      </w:r>
      <w:r>
        <w:rPr>
          <w:rFonts w:hint="eastAsia" w:ascii="Times New Roman" w:hAnsi="宋体" w:cs="Times New Roman"/>
          <w:color w:val="auto"/>
          <w:sz w:val="24"/>
          <w:szCs w:val="24"/>
          <w:highlight w:val="none"/>
          <w:lang w:eastAsia="zh-CN"/>
        </w:rPr>
        <w:t>成交人</w:t>
      </w:r>
      <w:r>
        <w:rPr>
          <w:rFonts w:hint="eastAsia" w:ascii="Times New Roman" w:hAnsi="宋体" w:cs="Times New Roman"/>
          <w:color w:val="auto"/>
          <w:sz w:val="24"/>
          <w:szCs w:val="24"/>
          <w:highlight w:val="none"/>
        </w:rPr>
        <w:t>必须承担由此产生的一切费用。</w:t>
      </w:r>
      <w:bookmarkStart w:id="1" w:name="_GoBack"/>
      <w:bookmarkEnd w:id="1"/>
    </w:p>
    <w:sectPr>
      <w:headerReference r:id="rId3" w:type="default"/>
      <w:footerReference r:id="rId4" w:type="default"/>
      <w:pgSz w:w="11906" w:h="16838"/>
      <w:pgMar w:top="1418" w:right="1418" w:bottom="1276"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hint="eastAsia" w:ascii="宋体" w:hAnsi="宋体" w:cs="宋体"/>
        <w:b w:val="0"/>
        <w:bCs/>
        <w:sz w:val="22"/>
        <w:szCs w:val="22"/>
      </w:rPr>
    </w:pPr>
  </w:p>
  <w:p>
    <w:pPr>
      <w:pStyle w:val="16"/>
      <w:pBdr>
        <w:bottom w:val="none" w:color="auto" w:sz="0" w:space="1"/>
      </w:pBdr>
      <w:jc w:val="right"/>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D2F5C"/>
    <w:multiLevelType w:val="singleLevel"/>
    <w:tmpl w:val="C57D2F5C"/>
    <w:lvl w:ilvl="0" w:tentative="0">
      <w:start w:val="2"/>
      <w:numFmt w:val="decimal"/>
      <w:suff w:val="nothing"/>
      <w:lvlText w:val="%1、"/>
      <w:lvlJc w:val="left"/>
    </w:lvl>
  </w:abstractNum>
  <w:abstractNum w:abstractNumId="1">
    <w:nsid w:val="4CA75A52"/>
    <w:multiLevelType w:val="multilevel"/>
    <w:tmpl w:val="4CA75A52"/>
    <w:lvl w:ilvl="0" w:tentative="0">
      <w:start w:val="1"/>
      <w:numFmt w:val="decimal"/>
      <w:pStyle w:val="36"/>
      <w:suff w:val="nothing"/>
      <w:lvlText w:val="（%1）"/>
      <w:lvlJc w:val="left"/>
      <w:pPr>
        <w:ind w:left="992"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M2YyODc3OTcxN2IyOGE2MmViMmExMjY5YjFkMDcifQ=="/>
  </w:docVars>
  <w:rsids>
    <w:rsidRoot w:val="00843DA9"/>
    <w:rsid w:val="00013DB2"/>
    <w:rsid w:val="00032288"/>
    <w:rsid w:val="00041EBF"/>
    <w:rsid w:val="001778EF"/>
    <w:rsid w:val="001A4684"/>
    <w:rsid w:val="001A4E16"/>
    <w:rsid w:val="001A64C4"/>
    <w:rsid w:val="001B7C24"/>
    <w:rsid w:val="002B2DD9"/>
    <w:rsid w:val="0031185E"/>
    <w:rsid w:val="00317273"/>
    <w:rsid w:val="00362120"/>
    <w:rsid w:val="003648A6"/>
    <w:rsid w:val="003E45C6"/>
    <w:rsid w:val="003E6366"/>
    <w:rsid w:val="00400604"/>
    <w:rsid w:val="00413DD5"/>
    <w:rsid w:val="0041704F"/>
    <w:rsid w:val="00476AAC"/>
    <w:rsid w:val="0048653C"/>
    <w:rsid w:val="00542AF4"/>
    <w:rsid w:val="00544681"/>
    <w:rsid w:val="00546F79"/>
    <w:rsid w:val="005672FD"/>
    <w:rsid w:val="0059253C"/>
    <w:rsid w:val="0059508A"/>
    <w:rsid w:val="005C4EFA"/>
    <w:rsid w:val="00605655"/>
    <w:rsid w:val="00635DCD"/>
    <w:rsid w:val="00640CC5"/>
    <w:rsid w:val="0068210F"/>
    <w:rsid w:val="00712E98"/>
    <w:rsid w:val="00723E59"/>
    <w:rsid w:val="00732DCC"/>
    <w:rsid w:val="007437DA"/>
    <w:rsid w:val="00791487"/>
    <w:rsid w:val="007D0F09"/>
    <w:rsid w:val="007E24E4"/>
    <w:rsid w:val="007E42E1"/>
    <w:rsid w:val="007F565F"/>
    <w:rsid w:val="00802D42"/>
    <w:rsid w:val="008428E0"/>
    <w:rsid w:val="00843DA9"/>
    <w:rsid w:val="00853E18"/>
    <w:rsid w:val="00885F80"/>
    <w:rsid w:val="008C4830"/>
    <w:rsid w:val="008C6BBC"/>
    <w:rsid w:val="008E5F1D"/>
    <w:rsid w:val="0092533C"/>
    <w:rsid w:val="00984460"/>
    <w:rsid w:val="009A24CD"/>
    <w:rsid w:val="009C3465"/>
    <w:rsid w:val="009E750F"/>
    <w:rsid w:val="009F53D1"/>
    <w:rsid w:val="00A721EB"/>
    <w:rsid w:val="00A766AC"/>
    <w:rsid w:val="00AA7DA7"/>
    <w:rsid w:val="00AB23B7"/>
    <w:rsid w:val="00B135EE"/>
    <w:rsid w:val="00B44C41"/>
    <w:rsid w:val="00B6317A"/>
    <w:rsid w:val="00BC25ED"/>
    <w:rsid w:val="00BD323B"/>
    <w:rsid w:val="00BF3CF5"/>
    <w:rsid w:val="00C071EE"/>
    <w:rsid w:val="00C128AD"/>
    <w:rsid w:val="00C179AA"/>
    <w:rsid w:val="00C3137E"/>
    <w:rsid w:val="00CC2855"/>
    <w:rsid w:val="00CF64A2"/>
    <w:rsid w:val="00D64190"/>
    <w:rsid w:val="00D848CD"/>
    <w:rsid w:val="00DB7A97"/>
    <w:rsid w:val="00DD19EE"/>
    <w:rsid w:val="00DF74ED"/>
    <w:rsid w:val="00E10D24"/>
    <w:rsid w:val="00E91DA0"/>
    <w:rsid w:val="00E9342F"/>
    <w:rsid w:val="00FB41DA"/>
    <w:rsid w:val="00FC5819"/>
    <w:rsid w:val="00FE453C"/>
    <w:rsid w:val="01223FA8"/>
    <w:rsid w:val="01457570"/>
    <w:rsid w:val="01655E65"/>
    <w:rsid w:val="01686B58"/>
    <w:rsid w:val="01B82438"/>
    <w:rsid w:val="0219529E"/>
    <w:rsid w:val="025403C3"/>
    <w:rsid w:val="025A6188"/>
    <w:rsid w:val="02E66183"/>
    <w:rsid w:val="02F34DF0"/>
    <w:rsid w:val="035016AA"/>
    <w:rsid w:val="03930D22"/>
    <w:rsid w:val="043E39C7"/>
    <w:rsid w:val="050F5A69"/>
    <w:rsid w:val="052E509C"/>
    <w:rsid w:val="055E6B29"/>
    <w:rsid w:val="05D261C1"/>
    <w:rsid w:val="05DE60F3"/>
    <w:rsid w:val="05EC445F"/>
    <w:rsid w:val="072B545A"/>
    <w:rsid w:val="0730481F"/>
    <w:rsid w:val="07537A15"/>
    <w:rsid w:val="07D57174"/>
    <w:rsid w:val="081E1EC8"/>
    <w:rsid w:val="08591B53"/>
    <w:rsid w:val="08946725"/>
    <w:rsid w:val="09380220"/>
    <w:rsid w:val="093E76C7"/>
    <w:rsid w:val="09642E40"/>
    <w:rsid w:val="097A4477"/>
    <w:rsid w:val="0A117125"/>
    <w:rsid w:val="0A752629"/>
    <w:rsid w:val="0B7C56B5"/>
    <w:rsid w:val="0BB73761"/>
    <w:rsid w:val="0C165A3C"/>
    <w:rsid w:val="0C353442"/>
    <w:rsid w:val="0C3E6914"/>
    <w:rsid w:val="0C3F1EA2"/>
    <w:rsid w:val="0C7004AE"/>
    <w:rsid w:val="0CC41F02"/>
    <w:rsid w:val="0D2B5DD7"/>
    <w:rsid w:val="0DC116A7"/>
    <w:rsid w:val="0DEF119B"/>
    <w:rsid w:val="0E3049D5"/>
    <w:rsid w:val="0E5D2D08"/>
    <w:rsid w:val="0F8C6CB2"/>
    <w:rsid w:val="0FDC794D"/>
    <w:rsid w:val="100B7BD7"/>
    <w:rsid w:val="102B21FA"/>
    <w:rsid w:val="11B2017C"/>
    <w:rsid w:val="1209283C"/>
    <w:rsid w:val="12494479"/>
    <w:rsid w:val="12821403"/>
    <w:rsid w:val="13EC5F71"/>
    <w:rsid w:val="14C03686"/>
    <w:rsid w:val="15B05890"/>
    <w:rsid w:val="163065E9"/>
    <w:rsid w:val="1676050B"/>
    <w:rsid w:val="17902BB4"/>
    <w:rsid w:val="17EE4D55"/>
    <w:rsid w:val="185229E9"/>
    <w:rsid w:val="193A32DB"/>
    <w:rsid w:val="198509FA"/>
    <w:rsid w:val="1A1D0C33"/>
    <w:rsid w:val="1A213DB1"/>
    <w:rsid w:val="1A702197"/>
    <w:rsid w:val="1A8B0292"/>
    <w:rsid w:val="1A9D7FC6"/>
    <w:rsid w:val="1AED4AA9"/>
    <w:rsid w:val="1B087B35"/>
    <w:rsid w:val="1B354630"/>
    <w:rsid w:val="1B4A2C53"/>
    <w:rsid w:val="1BA3160C"/>
    <w:rsid w:val="1BC4709A"/>
    <w:rsid w:val="1BF02AD1"/>
    <w:rsid w:val="1C86154C"/>
    <w:rsid w:val="1CC23D13"/>
    <w:rsid w:val="1D4D182F"/>
    <w:rsid w:val="1D682381"/>
    <w:rsid w:val="1E1C7453"/>
    <w:rsid w:val="1E214A6A"/>
    <w:rsid w:val="1EC27FFB"/>
    <w:rsid w:val="1F880746"/>
    <w:rsid w:val="1F8F15EE"/>
    <w:rsid w:val="1FE168F0"/>
    <w:rsid w:val="1FFC646D"/>
    <w:rsid w:val="1FFD628B"/>
    <w:rsid w:val="203D202F"/>
    <w:rsid w:val="215337A9"/>
    <w:rsid w:val="21635AC5"/>
    <w:rsid w:val="2174763C"/>
    <w:rsid w:val="23616034"/>
    <w:rsid w:val="2365291F"/>
    <w:rsid w:val="23A423C5"/>
    <w:rsid w:val="243F2C87"/>
    <w:rsid w:val="2492046F"/>
    <w:rsid w:val="24DF0021"/>
    <w:rsid w:val="25454984"/>
    <w:rsid w:val="25AE6ED8"/>
    <w:rsid w:val="26460754"/>
    <w:rsid w:val="26C50688"/>
    <w:rsid w:val="26CA3EF0"/>
    <w:rsid w:val="2706779D"/>
    <w:rsid w:val="2711463B"/>
    <w:rsid w:val="27170A31"/>
    <w:rsid w:val="27644345"/>
    <w:rsid w:val="28ED45F8"/>
    <w:rsid w:val="293164A9"/>
    <w:rsid w:val="2A2C6C70"/>
    <w:rsid w:val="2B5C0946"/>
    <w:rsid w:val="2B6D14CC"/>
    <w:rsid w:val="2B8E48A0"/>
    <w:rsid w:val="2BE93B9B"/>
    <w:rsid w:val="2C5A1A0A"/>
    <w:rsid w:val="2CF25AEC"/>
    <w:rsid w:val="2D3E3161"/>
    <w:rsid w:val="2DAD1E76"/>
    <w:rsid w:val="2DB72CF5"/>
    <w:rsid w:val="2DD30FF3"/>
    <w:rsid w:val="2E6425ED"/>
    <w:rsid w:val="2ED62379"/>
    <w:rsid w:val="2F3B7D86"/>
    <w:rsid w:val="30550CCF"/>
    <w:rsid w:val="308F23CF"/>
    <w:rsid w:val="309F63EE"/>
    <w:rsid w:val="31824447"/>
    <w:rsid w:val="324D202A"/>
    <w:rsid w:val="326A47D9"/>
    <w:rsid w:val="333A0650"/>
    <w:rsid w:val="333E1EEE"/>
    <w:rsid w:val="348114DF"/>
    <w:rsid w:val="34A11E5C"/>
    <w:rsid w:val="34B306BA"/>
    <w:rsid w:val="36DD6310"/>
    <w:rsid w:val="37272C99"/>
    <w:rsid w:val="374E139C"/>
    <w:rsid w:val="381159FE"/>
    <w:rsid w:val="38975AC6"/>
    <w:rsid w:val="39253208"/>
    <w:rsid w:val="39D5007E"/>
    <w:rsid w:val="3A0D6176"/>
    <w:rsid w:val="3A7C2171"/>
    <w:rsid w:val="3A7C32FC"/>
    <w:rsid w:val="3AA23B87"/>
    <w:rsid w:val="3AAA60BB"/>
    <w:rsid w:val="3B6E0E96"/>
    <w:rsid w:val="3C5F6A31"/>
    <w:rsid w:val="3C635FA0"/>
    <w:rsid w:val="3D36650B"/>
    <w:rsid w:val="3DF5631C"/>
    <w:rsid w:val="3E9E1A93"/>
    <w:rsid w:val="3F0A7FA0"/>
    <w:rsid w:val="3FD57736"/>
    <w:rsid w:val="41FE1EC5"/>
    <w:rsid w:val="4212269F"/>
    <w:rsid w:val="424E37D0"/>
    <w:rsid w:val="42542F76"/>
    <w:rsid w:val="43DE2113"/>
    <w:rsid w:val="43EA6380"/>
    <w:rsid w:val="44692B43"/>
    <w:rsid w:val="44C07868"/>
    <w:rsid w:val="455063C4"/>
    <w:rsid w:val="461928C0"/>
    <w:rsid w:val="462218A6"/>
    <w:rsid w:val="46396545"/>
    <w:rsid w:val="4763687F"/>
    <w:rsid w:val="491A440C"/>
    <w:rsid w:val="49402D39"/>
    <w:rsid w:val="495245DA"/>
    <w:rsid w:val="496314E8"/>
    <w:rsid w:val="4B29302C"/>
    <w:rsid w:val="4B9D7CA4"/>
    <w:rsid w:val="4BA7368C"/>
    <w:rsid w:val="4C670B42"/>
    <w:rsid w:val="4D437888"/>
    <w:rsid w:val="4D6C6DF2"/>
    <w:rsid w:val="4E035DB6"/>
    <w:rsid w:val="4E802F63"/>
    <w:rsid w:val="4EDD2163"/>
    <w:rsid w:val="4F702FD7"/>
    <w:rsid w:val="4FE6773D"/>
    <w:rsid w:val="50621BC6"/>
    <w:rsid w:val="50BE5FC4"/>
    <w:rsid w:val="50F3747B"/>
    <w:rsid w:val="51850890"/>
    <w:rsid w:val="51917A50"/>
    <w:rsid w:val="52797039"/>
    <w:rsid w:val="527F1783"/>
    <w:rsid w:val="53A45945"/>
    <w:rsid w:val="53AE2320"/>
    <w:rsid w:val="544D738D"/>
    <w:rsid w:val="54790B80"/>
    <w:rsid w:val="549D45B9"/>
    <w:rsid w:val="54B0031A"/>
    <w:rsid w:val="54E66B3B"/>
    <w:rsid w:val="55122F8C"/>
    <w:rsid w:val="552A1E7A"/>
    <w:rsid w:val="55C93441"/>
    <w:rsid w:val="55D77BEA"/>
    <w:rsid w:val="562C39D0"/>
    <w:rsid w:val="56767A33"/>
    <w:rsid w:val="570A5ABF"/>
    <w:rsid w:val="57544F8D"/>
    <w:rsid w:val="58BB521E"/>
    <w:rsid w:val="59611BE3"/>
    <w:rsid w:val="5A5B3C7E"/>
    <w:rsid w:val="5ABD72ED"/>
    <w:rsid w:val="5B307ABF"/>
    <w:rsid w:val="5B8A5421"/>
    <w:rsid w:val="5BAC6680"/>
    <w:rsid w:val="5C89534B"/>
    <w:rsid w:val="5D50513D"/>
    <w:rsid w:val="5DBE1D06"/>
    <w:rsid w:val="5DEA21A7"/>
    <w:rsid w:val="5EEE6C4B"/>
    <w:rsid w:val="5F797C86"/>
    <w:rsid w:val="6017697F"/>
    <w:rsid w:val="60C211B9"/>
    <w:rsid w:val="61B5304C"/>
    <w:rsid w:val="623623CF"/>
    <w:rsid w:val="62375BD7"/>
    <w:rsid w:val="625E03EE"/>
    <w:rsid w:val="626302C6"/>
    <w:rsid w:val="629F7C4A"/>
    <w:rsid w:val="62F17F22"/>
    <w:rsid w:val="63E000D7"/>
    <w:rsid w:val="63E3210F"/>
    <w:rsid w:val="646B1B68"/>
    <w:rsid w:val="647754F4"/>
    <w:rsid w:val="64AD25BC"/>
    <w:rsid w:val="64F547FC"/>
    <w:rsid w:val="6561458C"/>
    <w:rsid w:val="65640A91"/>
    <w:rsid w:val="6598137E"/>
    <w:rsid w:val="65A05841"/>
    <w:rsid w:val="663E515C"/>
    <w:rsid w:val="665C6A93"/>
    <w:rsid w:val="67146EE6"/>
    <w:rsid w:val="6739419F"/>
    <w:rsid w:val="6763542F"/>
    <w:rsid w:val="67966EFB"/>
    <w:rsid w:val="67A9489F"/>
    <w:rsid w:val="67BB43FC"/>
    <w:rsid w:val="680E2F36"/>
    <w:rsid w:val="680E43C9"/>
    <w:rsid w:val="686C0554"/>
    <w:rsid w:val="6986536E"/>
    <w:rsid w:val="69B23B9D"/>
    <w:rsid w:val="69DB153D"/>
    <w:rsid w:val="6A570BC4"/>
    <w:rsid w:val="6AB3370D"/>
    <w:rsid w:val="6ACD2F98"/>
    <w:rsid w:val="6B587DCD"/>
    <w:rsid w:val="6BE96194"/>
    <w:rsid w:val="6D0F666E"/>
    <w:rsid w:val="6D39519D"/>
    <w:rsid w:val="6D6550DB"/>
    <w:rsid w:val="6E3306EB"/>
    <w:rsid w:val="6EC627BC"/>
    <w:rsid w:val="6EFD0D45"/>
    <w:rsid w:val="6F4B2CC1"/>
    <w:rsid w:val="6F9F6E90"/>
    <w:rsid w:val="702C2AF3"/>
    <w:rsid w:val="706C6E5E"/>
    <w:rsid w:val="70C745CA"/>
    <w:rsid w:val="70DB3887"/>
    <w:rsid w:val="70E231B1"/>
    <w:rsid w:val="7104137A"/>
    <w:rsid w:val="710C022E"/>
    <w:rsid w:val="71511A93"/>
    <w:rsid w:val="715F2A54"/>
    <w:rsid w:val="71985BEE"/>
    <w:rsid w:val="722B668C"/>
    <w:rsid w:val="72A9042B"/>
    <w:rsid w:val="72B261D2"/>
    <w:rsid w:val="749E3893"/>
    <w:rsid w:val="74E02ADA"/>
    <w:rsid w:val="75542DA3"/>
    <w:rsid w:val="75D12617"/>
    <w:rsid w:val="764619AB"/>
    <w:rsid w:val="76AF6C28"/>
    <w:rsid w:val="76EE465E"/>
    <w:rsid w:val="77324E93"/>
    <w:rsid w:val="77902963"/>
    <w:rsid w:val="77B27ADD"/>
    <w:rsid w:val="77C213AE"/>
    <w:rsid w:val="77E872BA"/>
    <w:rsid w:val="787B0173"/>
    <w:rsid w:val="78EB75F0"/>
    <w:rsid w:val="79654980"/>
    <w:rsid w:val="7A0B19CB"/>
    <w:rsid w:val="7A811C8D"/>
    <w:rsid w:val="7B5F1FCE"/>
    <w:rsid w:val="7C105077"/>
    <w:rsid w:val="7C5D7BDC"/>
    <w:rsid w:val="7CD94EFE"/>
    <w:rsid w:val="7CF44998"/>
    <w:rsid w:val="7DEA7F3D"/>
    <w:rsid w:val="7F1532E5"/>
    <w:rsid w:val="7FC9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paragraph" w:styleId="5">
    <w:name w:val="heading 2"/>
    <w:basedOn w:val="1"/>
    <w:next w:val="6"/>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6"/>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99"/>
    <w:pPr>
      <w:jc w:val="left"/>
    </w:pPr>
    <w:rPr>
      <w:rFonts w:ascii="仿宋_GB2312" w:eastAsia="仿宋_GB2312"/>
      <w:sz w:val="32"/>
      <w:szCs w:val="32"/>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qFormat/>
    <w:uiPriority w:val="0"/>
    <w:rPr>
      <w:rFonts w:ascii="宋体" w:hAnsi="Courier New"/>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Normal (Web)"/>
    <w:basedOn w:val="1"/>
    <w:unhideWhenUsed/>
    <w:qFormat/>
    <w:uiPriority w:val="0"/>
    <w:pPr>
      <w:jc w:val="left"/>
    </w:pPr>
    <w:rPr>
      <w:kern w:val="0"/>
      <w:sz w:val="24"/>
    </w:rPr>
  </w:style>
  <w:style w:type="paragraph" w:styleId="19">
    <w:name w:val="Body Text First Indent 2"/>
    <w:basedOn w:val="9"/>
    <w:qFormat/>
    <w:uiPriority w:val="0"/>
    <w:pPr>
      <w:ind w:firstLine="420" w:firstLineChars="200"/>
    </w:pPr>
    <w:rPr>
      <w:rFonts w:eastAsia="宋体"/>
      <w:sz w:val="21"/>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none"/>
    </w:rPr>
  </w:style>
  <w:style w:type="paragraph" w:customStyle="1" w:styleId="24">
    <w:name w:val="正文 New"/>
    <w:basedOn w:val="1"/>
    <w:qFormat/>
    <w:uiPriority w:val="0"/>
    <w:pPr>
      <w:spacing w:before="100" w:beforeAutospacing="1" w:after="100" w:afterAutospacing="1" w:line="440" w:lineRule="exact"/>
      <w:ind w:left="357" w:hanging="357"/>
    </w:pPr>
    <w:rPr>
      <w:szCs w:val="21"/>
    </w:rPr>
  </w:style>
  <w:style w:type="paragraph" w:customStyle="1" w:styleId="25">
    <w:name w:val="样式 标题 2 + 段后: 156 磅"/>
    <w:basedOn w:val="5"/>
    <w:qFormat/>
    <w:uiPriority w:val="0"/>
    <w:pPr>
      <w:spacing w:before="100" w:after="100" w:line="240" w:lineRule="auto"/>
    </w:pPr>
    <w:rPr>
      <w:rFonts w:cs="宋体"/>
      <w:bCs/>
      <w:sz w:val="30"/>
    </w:rPr>
  </w:style>
  <w:style w:type="paragraph" w:customStyle="1" w:styleId="26">
    <w:name w:val="xl31"/>
    <w:basedOn w:val="1"/>
    <w:qFormat/>
    <w:uiPriority w:val="0"/>
    <w:pPr>
      <w:widowControl/>
      <w:spacing w:before="100" w:beforeAutospacing="1" w:after="100" w:afterAutospacing="1"/>
      <w:jc w:val="center"/>
    </w:pPr>
    <w:rPr>
      <w:b/>
      <w:bCs/>
      <w:kern w:val="0"/>
      <w:sz w:val="28"/>
      <w:szCs w:val="28"/>
    </w:rPr>
  </w:style>
  <w:style w:type="paragraph" w:customStyle="1" w:styleId="27">
    <w:name w:val="模板普通正文"/>
    <w:basedOn w:val="9"/>
    <w:qFormat/>
    <w:uiPriority w:val="0"/>
    <w:pPr>
      <w:spacing w:beforeLines="50" w:after="10"/>
      <w:ind w:firstLine="490" w:firstLineChars="175"/>
      <w:jc w:val="left"/>
    </w:pPr>
  </w:style>
  <w:style w:type="paragraph" w:customStyle="1" w:styleId="2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9">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Char Char Char1 Char"/>
    <w:basedOn w:val="1"/>
    <w:qFormat/>
    <w:uiPriority w:val="0"/>
    <w:rPr>
      <w:rFonts w:ascii="Arial" w:hAnsi="Arial" w:cs="Arial"/>
      <w:sz w:val="24"/>
    </w:rPr>
  </w:style>
  <w:style w:type="paragraph" w:styleId="31">
    <w:name w:val="List Paragraph"/>
    <w:basedOn w:val="1"/>
    <w:qFormat/>
    <w:uiPriority w:val="99"/>
    <w:pPr>
      <w:ind w:firstLine="420" w:firstLineChars="200"/>
    </w:pPr>
  </w:style>
  <w:style w:type="paragraph" w:customStyle="1" w:styleId="32">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3">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34">
    <w:name w:val="font41"/>
    <w:basedOn w:val="22"/>
    <w:qFormat/>
    <w:uiPriority w:val="0"/>
    <w:rPr>
      <w:rFonts w:hint="eastAsia" w:ascii="宋体" w:hAnsi="宋体" w:eastAsia="宋体" w:cs="宋体"/>
      <w:color w:val="000000"/>
      <w:sz w:val="20"/>
      <w:szCs w:val="20"/>
      <w:u w:val="none"/>
    </w:rPr>
  </w:style>
  <w:style w:type="character" w:customStyle="1" w:styleId="35">
    <w:name w:val="font81"/>
    <w:basedOn w:val="22"/>
    <w:qFormat/>
    <w:uiPriority w:val="0"/>
    <w:rPr>
      <w:rFonts w:ascii="Calibri" w:hAnsi="Calibri" w:cs="Calibri"/>
      <w:color w:val="000000"/>
      <w:sz w:val="20"/>
      <w:szCs w:val="20"/>
      <w:u w:val="none"/>
    </w:rPr>
  </w:style>
  <w:style w:type="paragraph" w:customStyle="1" w:styleId="36">
    <w:name w:val="正文（1）"/>
    <w:basedOn w:val="1"/>
    <w:qFormat/>
    <w:uiPriority w:val="0"/>
    <w:pPr>
      <w:numPr>
        <w:ilvl w:val="0"/>
        <w:numId w:val="1"/>
      </w:numPr>
      <w:spacing w:line="360" w:lineRule="auto"/>
    </w:pPr>
    <w:rPr>
      <w:rFonts w:ascii="Times New Roman" w:hAnsi="Times New Roman" w:eastAsia="仿宋"/>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2478</Words>
  <Characters>2926</Characters>
  <Lines>234</Lines>
  <Paragraphs>66</Paragraphs>
  <TotalTime>3</TotalTime>
  <ScaleCrop>false</ScaleCrop>
  <LinksUpToDate>false</LinksUpToDate>
  <CharactersWithSpaces>2940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2021-07-09T03:37:00Z</dcterms:created>
  <dc:creator>Lenovo</dc:creator>
  <cp:lastModifiedBy>WPS_1660095020</cp:lastModifiedBy>
  <cp:lastPrinted>2022-10-19T09:28:00Z</cp:lastPrinted>
  <dcterms:modified xsi:type="dcterms:W3CDTF">2023-08-09T00:35:44Z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E9AF00EDB61248F2B431A70EC1E6BD6A_13</vt:lpwstr>
  </property>
</Properties>
</file>