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364BF">
      <w:pPr>
        <w:keepNext/>
        <w:keepLines/>
        <w:spacing w:line="360" w:lineRule="auto"/>
        <w:jc w:val="center"/>
        <w:outlineLvl w:val="1"/>
        <w:rPr>
          <w:rFonts w:hint="eastAsia" w:ascii="宋体" w:hAnsi="宋体" w:cs="宋体"/>
          <w:b/>
          <w:sz w:val="36"/>
          <w:szCs w:val="36"/>
          <w:highlight w:val="none"/>
        </w:rPr>
      </w:pPr>
      <w:r>
        <w:rPr>
          <w:rStyle w:val="7"/>
          <w:rFonts w:hint="eastAsia"/>
          <w:sz w:val="32"/>
          <w:szCs w:val="32"/>
          <w:highlight w:val="none"/>
        </w:rPr>
        <w:t>服务需求及技术要求</w:t>
      </w:r>
    </w:p>
    <w:p w14:paraId="6531FE49">
      <w:pPr>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一、商务要求</w:t>
      </w:r>
    </w:p>
    <w:tbl>
      <w:tblPr>
        <w:tblStyle w:val="5"/>
        <w:tblW w:w="945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713"/>
        <w:gridCol w:w="6750"/>
      </w:tblGrid>
      <w:tr w14:paraId="7FF2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7" w:type="dxa"/>
            <w:noWrap w:val="0"/>
            <w:vAlign w:val="center"/>
          </w:tcPr>
          <w:p w14:paraId="227417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1713" w:type="dxa"/>
            <w:noWrap w:val="0"/>
            <w:vAlign w:val="center"/>
          </w:tcPr>
          <w:p w14:paraId="0CFB55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条款名称</w:t>
            </w:r>
          </w:p>
        </w:tc>
        <w:tc>
          <w:tcPr>
            <w:tcW w:w="6750" w:type="dxa"/>
            <w:noWrap w:val="0"/>
            <w:vAlign w:val="center"/>
          </w:tcPr>
          <w:p w14:paraId="78CEFC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具体要求内容</w:t>
            </w:r>
          </w:p>
        </w:tc>
      </w:tr>
      <w:tr w14:paraId="4543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87" w:type="dxa"/>
            <w:noWrap w:val="0"/>
            <w:vAlign w:val="center"/>
          </w:tcPr>
          <w:p w14:paraId="57CE8F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713" w:type="dxa"/>
            <w:noWrap w:val="0"/>
            <w:vAlign w:val="center"/>
          </w:tcPr>
          <w:p w14:paraId="45A02A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付款方式</w:t>
            </w:r>
          </w:p>
        </w:tc>
        <w:tc>
          <w:tcPr>
            <w:tcW w:w="6750" w:type="dxa"/>
            <w:noWrap w:val="0"/>
            <w:vAlign w:val="center"/>
          </w:tcPr>
          <w:p w14:paraId="4ADCFDD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提交检测报告后支付经采购人和监理单位审核确认的已完工程量的50%，桩基全部验收通过后付至已完成工程量的100%。</w:t>
            </w:r>
          </w:p>
          <w:p w14:paraId="684651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kern w:val="0"/>
                <w:sz w:val="24"/>
                <w:szCs w:val="24"/>
                <w:highlight w:val="none"/>
                <w:lang w:val="en-US" w:eastAsia="zh-CN"/>
              </w:rPr>
              <w:t>成交人收款前须向采购人开具符合国家法规的与结算金额相等的增值税专用发票，所有税费由成交人承担。</w:t>
            </w:r>
          </w:p>
        </w:tc>
      </w:tr>
      <w:tr w14:paraId="6EE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7" w:type="dxa"/>
            <w:noWrap w:val="0"/>
            <w:vAlign w:val="center"/>
          </w:tcPr>
          <w:p w14:paraId="485659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713" w:type="dxa"/>
            <w:noWrap w:val="0"/>
            <w:vAlign w:val="center"/>
          </w:tcPr>
          <w:p w14:paraId="6A27DE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服务地点</w:t>
            </w:r>
          </w:p>
        </w:tc>
        <w:tc>
          <w:tcPr>
            <w:tcW w:w="6750" w:type="dxa"/>
            <w:noWrap w:val="0"/>
            <w:vAlign w:val="center"/>
          </w:tcPr>
          <w:p w14:paraId="795A85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安庆市</w:t>
            </w:r>
          </w:p>
        </w:tc>
      </w:tr>
      <w:tr w14:paraId="4BF8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87" w:type="dxa"/>
            <w:noWrap w:val="0"/>
            <w:vAlign w:val="center"/>
          </w:tcPr>
          <w:p w14:paraId="78E1B9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713" w:type="dxa"/>
            <w:noWrap w:val="0"/>
            <w:vAlign w:val="center"/>
          </w:tcPr>
          <w:p w14:paraId="4D80F1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服务期</w:t>
            </w:r>
          </w:p>
        </w:tc>
        <w:tc>
          <w:tcPr>
            <w:tcW w:w="6750" w:type="dxa"/>
            <w:noWrap w:val="0"/>
            <w:vAlign w:val="center"/>
          </w:tcPr>
          <w:p w14:paraId="7EE39B5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kern w:val="0"/>
                <w:sz w:val="24"/>
                <w:szCs w:val="24"/>
                <w:highlight w:val="none"/>
                <w:lang w:val="en-US" w:eastAsia="zh-CN"/>
              </w:rPr>
              <w:t>日历天</w:t>
            </w:r>
            <w:r>
              <w:rPr>
                <w:rFonts w:hint="eastAsia" w:ascii="宋体" w:hAnsi="宋体" w:eastAsia="宋体" w:cs="宋体"/>
                <w:b/>
                <w:bCs/>
                <w:kern w:val="0"/>
                <w:sz w:val="24"/>
                <w:szCs w:val="24"/>
                <w:highlight w:val="none"/>
                <w:lang w:val="en-US" w:eastAsia="zh-CN"/>
              </w:rPr>
              <w:t>（自采购人下达检测通知之日起至提交合格的经采购人确认的检测报告时止，检测单位应根据桩基工程的施工进度情况合理安排检测工期，整个检测工期应配合总包施工的工期安排。检测项目如果工期延期，服务期相应顺延，费用不予增加）。</w:t>
            </w:r>
          </w:p>
        </w:tc>
      </w:tr>
    </w:tbl>
    <w:p w14:paraId="6902F26F">
      <w:pPr>
        <w:spacing w:line="360" w:lineRule="auto"/>
        <w:ind w:firstLine="482" w:firstLineChars="200"/>
        <w:rPr>
          <w:rFonts w:hint="default" w:ascii="宋体" w:hAnsi="宋体" w:eastAsia="宋体" w:cs="宋体"/>
          <w:b/>
          <w:sz w:val="24"/>
          <w:szCs w:val="24"/>
          <w:highlight w:val="none"/>
          <w:lang w:val="en-US" w:eastAsia="zh-CN"/>
        </w:rPr>
      </w:pPr>
      <w:bookmarkStart w:id="0" w:name="_Toc51074826"/>
      <w:bookmarkStart w:id="1" w:name="_Toc445554765"/>
      <w:bookmarkStart w:id="2" w:name="_Hlk97566407"/>
      <w:bookmarkStart w:id="3" w:name="_Toc466024564"/>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采购需求</w:t>
      </w:r>
    </w:p>
    <w:p w14:paraId="58FB541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产20发可回收液体火箭制造厂房建设项目桩基检测现采购第三方桩基检测服务单位对成桩后质量进行检测，主要检测项目包括但不限于均匀性完整性检测、单桩承载力和复合地基承载力检测等图纸和规范所需检测内容。检测项目报价应包含劳务、材料、机械、管理、临时工程、税款、保险、利润及完成本项目所必须的其他辅助工作的相关费用等所有费用。供应商应结合采购需求及现场情况合理报价，一旦成交，合同金额后期将不作任何调整。</w:t>
      </w:r>
    </w:p>
    <w:p w14:paraId="4722BB8E">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检测内容、要求及数量</w:t>
      </w:r>
    </w:p>
    <w:bookmarkEnd w:id="0"/>
    <w:bookmarkEnd w:id="1"/>
    <w:bookmarkEnd w:id="2"/>
    <w:bookmarkEnd w:id="3"/>
    <w:tbl>
      <w:tblPr>
        <w:tblStyle w:val="4"/>
        <w:tblW w:w="9359" w:type="dxa"/>
        <w:tblInd w:w="0" w:type="dxa"/>
        <w:tblLayout w:type="autofit"/>
        <w:tblCellMar>
          <w:top w:w="0" w:type="dxa"/>
          <w:left w:w="108" w:type="dxa"/>
          <w:bottom w:w="0" w:type="dxa"/>
          <w:right w:w="108" w:type="dxa"/>
        </w:tblCellMar>
      </w:tblPr>
      <w:tblGrid>
        <w:gridCol w:w="1337"/>
        <w:gridCol w:w="1337"/>
        <w:gridCol w:w="1337"/>
        <w:gridCol w:w="1337"/>
        <w:gridCol w:w="1337"/>
        <w:gridCol w:w="1337"/>
        <w:gridCol w:w="1337"/>
      </w:tblGrid>
      <w:tr w14:paraId="28D2CD96">
        <w:tblPrEx>
          <w:tblCellMar>
            <w:top w:w="0" w:type="dxa"/>
            <w:left w:w="108" w:type="dxa"/>
            <w:bottom w:w="0" w:type="dxa"/>
            <w:right w:w="108" w:type="dxa"/>
          </w:tblCellMar>
        </w:tblPrEx>
        <w:trPr>
          <w:trHeight w:val="1247"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677B7214">
            <w:pPr>
              <w:widowControl/>
              <w:jc w:val="center"/>
              <w:rPr>
                <w:rFonts w:hint="eastAsia" w:ascii="宋体" w:hAnsi="宋体" w:eastAsia="宋体" w:cs="宋体"/>
                <w:color w:val="000000"/>
                <w:kern w:val="0"/>
                <w:sz w:val="24"/>
                <w:szCs w:val="24"/>
              </w:rPr>
            </w:pPr>
            <w:bookmarkStart w:id="4" w:name="_Toc16489"/>
            <w:bookmarkStart w:id="5" w:name="_Toc15427"/>
            <w:bookmarkStart w:id="6" w:name="_Toc4579"/>
            <w:r>
              <w:rPr>
                <w:rFonts w:hint="eastAsia" w:ascii="宋体" w:hAnsi="宋体" w:eastAsia="宋体" w:cs="宋体"/>
                <w:color w:val="000000"/>
                <w:kern w:val="0"/>
                <w:sz w:val="24"/>
                <w:szCs w:val="24"/>
              </w:rPr>
              <w:t>单体名称</w:t>
            </w:r>
          </w:p>
        </w:tc>
        <w:tc>
          <w:tcPr>
            <w:tcW w:w="1337" w:type="dxa"/>
            <w:tcBorders>
              <w:top w:val="single" w:color="auto" w:sz="4" w:space="0"/>
              <w:left w:val="nil"/>
              <w:bottom w:val="single" w:color="auto" w:sz="4" w:space="0"/>
              <w:right w:val="single" w:color="auto" w:sz="4" w:space="0"/>
            </w:tcBorders>
            <w:noWrap w:val="0"/>
            <w:vAlign w:val="center"/>
          </w:tcPr>
          <w:p w14:paraId="1E7651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单桩抗压承载力特征值（KN）</w:t>
            </w:r>
          </w:p>
        </w:tc>
        <w:tc>
          <w:tcPr>
            <w:tcW w:w="1337" w:type="dxa"/>
            <w:tcBorders>
              <w:top w:val="single" w:color="auto" w:sz="4" w:space="0"/>
              <w:left w:val="nil"/>
              <w:bottom w:val="single" w:color="auto" w:sz="4" w:space="0"/>
              <w:right w:val="single" w:color="auto" w:sz="4" w:space="0"/>
            </w:tcBorders>
            <w:noWrap w:val="0"/>
            <w:vAlign w:val="center"/>
          </w:tcPr>
          <w:p w14:paraId="4F37A02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单桩抗拔承载力特征值（KN）</w:t>
            </w:r>
          </w:p>
        </w:tc>
        <w:tc>
          <w:tcPr>
            <w:tcW w:w="1337" w:type="dxa"/>
            <w:tcBorders>
              <w:top w:val="single" w:color="auto" w:sz="4" w:space="0"/>
              <w:left w:val="nil"/>
              <w:bottom w:val="single" w:color="auto" w:sz="4" w:space="0"/>
              <w:right w:val="single" w:color="auto" w:sz="4" w:space="0"/>
            </w:tcBorders>
            <w:noWrap w:val="0"/>
            <w:vAlign w:val="center"/>
          </w:tcPr>
          <w:p w14:paraId="0D0F109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单桩竖向抗压静载试验（根）</w:t>
            </w:r>
          </w:p>
        </w:tc>
        <w:tc>
          <w:tcPr>
            <w:tcW w:w="1337" w:type="dxa"/>
            <w:tcBorders>
              <w:top w:val="single" w:color="auto" w:sz="4" w:space="0"/>
              <w:left w:val="nil"/>
              <w:bottom w:val="single" w:color="auto" w:sz="4" w:space="0"/>
              <w:right w:val="single" w:color="auto" w:sz="4" w:space="0"/>
            </w:tcBorders>
            <w:noWrap w:val="0"/>
            <w:vAlign w:val="center"/>
          </w:tcPr>
          <w:p w14:paraId="2B2A49E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单桩竖向抗拔静载试验（根）</w:t>
            </w:r>
          </w:p>
        </w:tc>
        <w:tc>
          <w:tcPr>
            <w:tcW w:w="1337" w:type="dxa"/>
            <w:tcBorders>
              <w:top w:val="single" w:color="auto" w:sz="4" w:space="0"/>
              <w:left w:val="nil"/>
              <w:bottom w:val="single" w:color="auto" w:sz="4" w:space="0"/>
              <w:right w:val="single" w:color="auto" w:sz="4" w:space="0"/>
            </w:tcBorders>
            <w:noWrap w:val="0"/>
            <w:vAlign w:val="center"/>
          </w:tcPr>
          <w:p w14:paraId="56C5B2E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低应变法（根）</w:t>
            </w:r>
          </w:p>
        </w:tc>
        <w:tc>
          <w:tcPr>
            <w:tcW w:w="1337" w:type="dxa"/>
            <w:tcBorders>
              <w:top w:val="single" w:color="auto" w:sz="4" w:space="0"/>
              <w:left w:val="nil"/>
              <w:bottom w:val="single" w:color="auto" w:sz="4" w:space="0"/>
              <w:right w:val="single" w:color="auto" w:sz="4" w:space="0"/>
            </w:tcBorders>
            <w:noWrap w:val="0"/>
            <w:vAlign w:val="center"/>
          </w:tcPr>
          <w:p w14:paraId="7ADEE7E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单桩竖向抗压</w:t>
            </w:r>
            <w:r>
              <w:rPr>
                <w:rFonts w:hint="eastAsia" w:ascii="宋体" w:hAnsi="宋体" w:eastAsia="宋体" w:cs="宋体"/>
                <w:color w:val="000000"/>
                <w:kern w:val="0"/>
                <w:sz w:val="24"/>
                <w:szCs w:val="24"/>
                <w:lang w:eastAsia="zh-CN"/>
              </w:rPr>
              <w:t>抗拔</w:t>
            </w:r>
            <w:r>
              <w:rPr>
                <w:rFonts w:hint="eastAsia" w:ascii="宋体" w:hAnsi="宋体" w:eastAsia="宋体" w:cs="宋体"/>
                <w:color w:val="000000"/>
                <w:kern w:val="0"/>
                <w:sz w:val="24"/>
                <w:szCs w:val="24"/>
              </w:rPr>
              <w:t>静载试验荷载（T）</w:t>
            </w:r>
          </w:p>
        </w:tc>
      </w:tr>
      <w:tr w14:paraId="1516064E">
        <w:tblPrEx>
          <w:tblCellMar>
            <w:top w:w="0" w:type="dxa"/>
            <w:left w:w="108" w:type="dxa"/>
            <w:bottom w:w="0" w:type="dxa"/>
            <w:right w:w="108" w:type="dxa"/>
          </w:tblCellMar>
        </w:tblPrEx>
        <w:trPr>
          <w:trHeight w:val="720" w:hRule="atLeast"/>
        </w:trPr>
        <w:tc>
          <w:tcPr>
            <w:tcW w:w="1337" w:type="dxa"/>
            <w:tcBorders>
              <w:top w:val="nil"/>
              <w:left w:val="single" w:color="auto" w:sz="4" w:space="0"/>
              <w:bottom w:val="single" w:color="auto" w:sz="4" w:space="0"/>
              <w:right w:val="single" w:color="auto" w:sz="4" w:space="0"/>
            </w:tcBorders>
            <w:noWrap w:val="0"/>
            <w:vAlign w:val="center"/>
          </w:tcPr>
          <w:p w14:paraId="2A33F1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1#生产车间</w:t>
            </w:r>
          </w:p>
        </w:tc>
        <w:tc>
          <w:tcPr>
            <w:tcW w:w="1337" w:type="dxa"/>
            <w:tcBorders>
              <w:top w:val="nil"/>
              <w:left w:val="nil"/>
              <w:bottom w:val="single" w:color="auto" w:sz="4" w:space="0"/>
              <w:right w:val="single" w:color="auto" w:sz="4" w:space="0"/>
            </w:tcBorders>
            <w:noWrap w:val="0"/>
            <w:vAlign w:val="center"/>
          </w:tcPr>
          <w:p w14:paraId="7BE317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1700</w:t>
            </w:r>
          </w:p>
        </w:tc>
        <w:tc>
          <w:tcPr>
            <w:tcW w:w="1337" w:type="dxa"/>
            <w:tcBorders>
              <w:top w:val="nil"/>
              <w:left w:val="nil"/>
              <w:bottom w:val="single" w:color="auto" w:sz="4" w:space="0"/>
              <w:right w:val="single" w:color="auto" w:sz="4" w:space="0"/>
            </w:tcBorders>
            <w:noWrap w:val="0"/>
            <w:vAlign w:val="center"/>
          </w:tcPr>
          <w:p w14:paraId="006D50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1337" w:type="dxa"/>
            <w:tcBorders>
              <w:top w:val="nil"/>
              <w:left w:val="nil"/>
              <w:bottom w:val="single" w:color="auto" w:sz="4" w:space="0"/>
              <w:right w:val="single" w:color="auto" w:sz="4" w:space="0"/>
            </w:tcBorders>
            <w:noWrap w:val="0"/>
            <w:vAlign w:val="center"/>
          </w:tcPr>
          <w:p w14:paraId="128F984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337" w:type="dxa"/>
            <w:tcBorders>
              <w:top w:val="nil"/>
              <w:left w:val="nil"/>
              <w:bottom w:val="single" w:color="auto" w:sz="4" w:space="0"/>
              <w:right w:val="single" w:color="auto" w:sz="4" w:space="0"/>
            </w:tcBorders>
            <w:noWrap w:val="0"/>
            <w:vAlign w:val="center"/>
          </w:tcPr>
          <w:p w14:paraId="730ECB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37" w:type="dxa"/>
            <w:tcBorders>
              <w:top w:val="nil"/>
              <w:left w:val="nil"/>
              <w:bottom w:val="single" w:color="auto" w:sz="4" w:space="0"/>
              <w:right w:val="single" w:color="auto" w:sz="4" w:space="0"/>
            </w:tcBorders>
            <w:noWrap w:val="0"/>
            <w:vAlign w:val="center"/>
          </w:tcPr>
          <w:p w14:paraId="352F7D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1337" w:type="dxa"/>
            <w:tcBorders>
              <w:top w:val="nil"/>
              <w:left w:val="nil"/>
              <w:bottom w:val="single" w:color="auto" w:sz="4" w:space="0"/>
              <w:right w:val="single" w:color="auto" w:sz="4" w:space="0"/>
            </w:tcBorders>
            <w:noWrap/>
            <w:vAlign w:val="center"/>
          </w:tcPr>
          <w:p w14:paraId="3DD5B5C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62</w:t>
            </w:r>
            <w:r>
              <w:rPr>
                <w:rFonts w:hint="eastAsia" w:ascii="宋体" w:hAnsi="宋体" w:eastAsia="宋体" w:cs="宋体"/>
                <w:color w:val="000000"/>
                <w:kern w:val="0"/>
                <w:sz w:val="24"/>
                <w:szCs w:val="24"/>
              </w:rPr>
              <w:t>0</w:t>
            </w:r>
          </w:p>
        </w:tc>
      </w:tr>
      <w:tr w14:paraId="0D64620D">
        <w:tblPrEx>
          <w:tblCellMar>
            <w:top w:w="0" w:type="dxa"/>
            <w:left w:w="108" w:type="dxa"/>
            <w:bottom w:w="0" w:type="dxa"/>
            <w:right w:w="108" w:type="dxa"/>
          </w:tblCellMar>
        </w:tblPrEx>
        <w:trPr>
          <w:trHeight w:val="737" w:hRule="atLeast"/>
        </w:trPr>
        <w:tc>
          <w:tcPr>
            <w:tcW w:w="1337" w:type="dxa"/>
            <w:tcBorders>
              <w:top w:val="nil"/>
              <w:left w:val="single" w:color="auto" w:sz="4" w:space="0"/>
              <w:bottom w:val="single" w:color="auto" w:sz="4" w:space="0"/>
              <w:right w:val="single" w:color="auto" w:sz="4" w:space="0"/>
            </w:tcBorders>
            <w:noWrap w:val="0"/>
            <w:vAlign w:val="center"/>
          </w:tcPr>
          <w:p w14:paraId="6F9CA9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2#生活配套</w:t>
            </w:r>
          </w:p>
        </w:tc>
        <w:tc>
          <w:tcPr>
            <w:tcW w:w="1337" w:type="dxa"/>
            <w:tcBorders>
              <w:top w:val="nil"/>
              <w:left w:val="nil"/>
              <w:bottom w:val="single" w:color="auto" w:sz="4" w:space="0"/>
              <w:right w:val="single" w:color="auto" w:sz="4" w:space="0"/>
            </w:tcBorders>
            <w:noWrap w:val="0"/>
            <w:vAlign w:val="center"/>
          </w:tcPr>
          <w:p w14:paraId="6FC93CE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1700</w:t>
            </w:r>
          </w:p>
        </w:tc>
        <w:tc>
          <w:tcPr>
            <w:tcW w:w="1337" w:type="dxa"/>
            <w:tcBorders>
              <w:top w:val="nil"/>
              <w:left w:val="nil"/>
              <w:bottom w:val="single" w:color="auto" w:sz="4" w:space="0"/>
              <w:right w:val="single" w:color="auto" w:sz="4" w:space="0"/>
            </w:tcBorders>
            <w:noWrap w:val="0"/>
            <w:vAlign w:val="center"/>
          </w:tcPr>
          <w:p w14:paraId="56D4ED8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w:t>
            </w:r>
          </w:p>
        </w:tc>
        <w:tc>
          <w:tcPr>
            <w:tcW w:w="1337" w:type="dxa"/>
            <w:tcBorders>
              <w:top w:val="nil"/>
              <w:left w:val="nil"/>
              <w:bottom w:val="single" w:color="auto" w:sz="4" w:space="0"/>
              <w:right w:val="single" w:color="auto" w:sz="4" w:space="0"/>
            </w:tcBorders>
            <w:noWrap w:val="0"/>
            <w:vAlign w:val="center"/>
          </w:tcPr>
          <w:p w14:paraId="114BC2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37" w:type="dxa"/>
            <w:tcBorders>
              <w:top w:val="nil"/>
              <w:left w:val="nil"/>
              <w:bottom w:val="single" w:color="auto" w:sz="4" w:space="0"/>
              <w:right w:val="single" w:color="auto" w:sz="4" w:space="0"/>
            </w:tcBorders>
            <w:noWrap w:val="0"/>
            <w:vAlign w:val="center"/>
          </w:tcPr>
          <w:p w14:paraId="7C63B7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337" w:type="dxa"/>
            <w:tcBorders>
              <w:top w:val="nil"/>
              <w:left w:val="nil"/>
              <w:bottom w:val="single" w:color="auto" w:sz="4" w:space="0"/>
              <w:right w:val="single" w:color="auto" w:sz="4" w:space="0"/>
            </w:tcBorders>
            <w:noWrap w:val="0"/>
            <w:vAlign w:val="center"/>
          </w:tcPr>
          <w:p w14:paraId="3FCB60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337" w:type="dxa"/>
            <w:tcBorders>
              <w:top w:val="nil"/>
              <w:left w:val="nil"/>
              <w:bottom w:val="single" w:color="auto" w:sz="4" w:space="0"/>
              <w:right w:val="single" w:color="auto" w:sz="4" w:space="0"/>
            </w:tcBorders>
            <w:noWrap/>
            <w:vAlign w:val="center"/>
          </w:tcPr>
          <w:p w14:paraId="7444A99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1020</w:t>
            </w:r>
          </w:p>
        </w:tc>
      </w:tr>
      <w:tr w14:paraId="2F603AFB">
        <w:tblPrEx>
          <w:tblCellMar>
            <w:top w:w="0" w:type="dxa"/>
            <w:left w:w="108" w:type="dxa"/>
            <w:bottom w:w="0" w:type="dxa"/>
            <w:right w:w="108" w:type="dxa"/>
          </w:tblCellMar>
        </w:tblPrEx>
        <w:trPr>
          <w:trHeight w:val="803" w:hRule="atLeast"/>
        </w:trPr>
        <w:tc>
          <w:tcPr>
            <w:tcW w:w="1337" w:type="dxa"/>
            <w:tcBorders>
              <w:top w:val="nil"/>
              <w:left w:val="single" w:color="auto" w:sz="4" w:space="0"/>
              <w:bottom w:val="single" w:color="auto" w:sz="4" w:space="0"/>
              <w:right w:val="single" w:color="auto" w:sz="4" w:space="0"/>
            </w:tcBorders>
            <w:noWrap w:val="0"/>
            <w:vAlign w:val="center"/>
          </w:tcPr>
          <w:p w14:paraId="5FC800E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5#动力中心</w:t>
            </w:r>
          </w:p>
        </w:tc>
        <w:tc>
          <w:tcPr>
            <w:tcW w:w="1337" w:type="dxa"/>
            <w:tcBorders>
              <w:top w:val="nil"/>
              <w:left w:val="nil"/>
              <w:bottom w:val="single" w:color="auto" w:sz="4" w:space="0"/>
              <w:right w:val="single" w:color="auto" w:sz="4" w:space="0"/>
            </w:tcBorders>
            <w:noWrap w:val="0"/>
            <w:vAlign w:val="center"/>
          </w:tcPr>
          <w:p w14:paraId="7FAE19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1700</w:t>
            </w:r>
          </w:p>
        </w:tc>
        <w:tc>
          <w:tcPr>
            <w:tcW w:w="1337" w:type="dxa"/>
            <w:tcBorders>
              <w:top w:val="nil"/>
              <w:left w:val="nil"/>
              <w:bottom w:val="single" w:color="auto" w:sz="4" w:space="0"/>
              <w:right w:val="single" w:color="auto" w:sz="4" w:space="0"/>
            </w:tcBorders>
            <w:noWrap w:val="0"/>
            <w:vAlign w:val="center"/>
          </w:tcPr>
          <w:p w14:paraId="239F0B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w:t>
            </w:r>
          </w:p>
        </w:tc>
        <w:tc>
          <w:tcPr>
            <w:tcW w:w="1337" w:type="dxa"/>
            <w:tcBorders>
              <w:top w:val="nil"/>
              <w:left w:val="nil"/>
              <w:bottom w:val="single" w:color="auto" w:sz="4" w:space="0"/>
              <w:right w:val="single" w:color="auto" w:sz="4" w:space="0"/>
            </w:tcBorders>
            <w:noWrap w:val="0"/>
            <w:vAlign w:val="center"/>
          </w:tcPr>
          <w:p w14:paraId="0458CB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37" w:type="dxa"/>
            <w:tcBorders>
              <w:top w:val="nil"/>
              <w:left w:val="nil"/>
              <w:bottom w:val="single" w:color="auto" w:sz="4" w:space="0"/>
              <w:right w:val="single" w:color="auto" w:sz="4" w:space="0"/>
            </w:tcBorders>
            <w:noWrap w:val="0"/>
            <w:vAlign w:val="center"/>
          </w:tcPr>
          <w:p w14:paraId="70F279E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337" w:type="dxa"/>
            <w:tcBorders>
              <w:top w:val="nil"/>
              <w:left w:val="nil"/>
              <w:bottom w:val="single" w:color="auto" w:sz="4" w:space="0"/>
              <w:right w:val="single" w:color="auto" w:sz="4" w:space="0"/>
            </w:tcBorders>
            <w:noWrap w:val="0"/>
            <w:vAlign w:val="center"/>
          </w:tcPr>
          <w:p w14:paraId="4C9A5C4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337" w:type="dxa"/>
            <w:tcBorders>
              <w:top w:val="nil"/>
              <w:left w:val="nil"/>
              <w:bottom w:val="single" w:color="auto" w:sz="4" w:space="0"/>
              <w:right w:val="single" w:color="auto" w:sz="4" w:space="0"/>
            </w:tcBorders>
            <w:noWrap/>
            <w:vAlign w:val="center"/>
          </w:tcPr>
          <w:p w14:paraId="4E4001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680</w:t>
            </w:r>
          </w:p>
        </w:tc>
      </w:tr>
      <w:tr w14:paraId="10DB3679">
        <w:tblPrEx>
          <w:tblCellMar>
            <w:top w:w="0" w:type="dxa"/>
            <w:left w:w="108" w:type="dxa"/>
            <w:bottom w:w="0" w:type="dxa"/>
            <w:right w:w="108" w:type="dxa"/>
          </w:tblCellMar>
        </w:tblPrEx>
        <w:trPr>
          <w:trHeight w:val="725" w:hRule="atLeast"/>
        </w:trPr>
        <w:tc>
          <w:tcPr>
            <w:tcW w:w="1337" w:type="dxa"/>
            <w:tcBorders>
              <w:top w:val="single" w:color="auto" w:sz="4" w:space="0"/>
              <w:left w:val="single" w:color="auto" w:sz="4" w:space="0"/>
              <w:bottom w:val="single" w:color="auto" w:sz="4" w:space="0"/>
              <w:right w:val="single" w:color="auto" w:sz="4" w:space="0"/>
            </w:tcBorders>
            <w:noWrap/>
            <w:vAlign w:val="center"/>
          </w:tcPr>
          <w:p w14:paraId="675DFA2A">
            <w:pPr>
              <w:widowControl/>
              <w:spacing w:line="24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合计</w:t>
            </w:r>
          </w:p>
        </w:tc>
        <w:tc>
          <w:tcPr>
            <w:tcW w:w="1337" w:type="dxa"/>
            <w:tcBorders>
              <w:top w:val="single" w:color="auto" w:sz="4" w:space="0"/>
              <w:left w:val="single" w:color="auto" w:sz="4" w:space="0"/>
              <w:bottom w:val="single" w:color="auto" w:sz="4" w:space="0"/>
              <w:right w:val="single" w:color="auto" w:sz="4" w:space="0"/>
            </w:tcBorders>
            <w:noWrap/>
            <w:vAlign w:val="center"/>
          </w:tcPr>
          <w:p w14:paraId="516413DF">
            <w:pPr>
              <w:widowControl/>
              <w:spacing w:line="240" w:lineRule="auto"/>
              <w:jc w:val="center"/>
              <w:rPr>
                <w:rFonts w:hint="eastAsia" w:ascii="宋体" w:hAnsi="宋体" w:eastAsia="宋体" w:cs="宋体"/>
                <w:b w:val="0"/>
                <w:bCs w:val="0"/>
                <w:color w:val="000000"/>
                <w:kern w:val="0"/>
                <w:sz w:val="24"/>
                <w:szCs w:val="24"/>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4F68772F">
            <w:pPr>
              <w:widowControl/>
              <w:spacing w:line="240" w:lineRule="auto"/>
              <w:jc w:val="center"/>
              <w:rPr>
                <w:rFonts w:hint="eastAsia" w:ascii="宋体" w:hAnsi="宋体" w:eastAsia="宋体" w:cs="宋体"/>
                <w:b w:val="0"/>
                <w:bCs w:val="0"/>
                <w:color w:val="000000"/>
                <w:kern w:val="0"/>
                <w:sz w:val="24"/>
                <w:szCs w:val="24"/>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760952B5">
            <w:pPr>
              <w:widowControl/>
              <w:spacing w:line="24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w:t>
            </w:r>
          </w:p>
        </w:tc>
        <w:tc>
          <w:tcPr>
            <w:tcW w:w="1337" w:type="dxa"/>
            <w:tcBorders>
              <w:top w:val="single" w:color="auto" w:sz="4" w:space="0"/>
              <w:left w:val="single" w:color="auto" w:sz="4" w:space="0"/>
              <w:bottom w:val="single" w:color="auto" w:sz="4" w:space="0"/>
              <w:right w:val="single" w:color="auto" w:sz="4" w:space="0"/>
            </w:tcBorders>
            <w:noWrap/>
            <w:vAlign w:val="center"/>
          </w:tcPr>
          <w:p w14:paraId="1FBC47E8">
            <w:pPr>
              <w:widowControl/>
              <w:spacing w:line="24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337" w:type="dxa"/>
            <w:tcBorders>
              <w:top w:val="single" w:color="auto" w:sz="4" w:space="0"/>
              <w:left w:val="single" w:color="auto" w:sz="4" w:space="0"/>
              <w:bottom w:val="single" w:color="auto" w:sz="4" w:space="0"/>
              <w:right w:val="single" w:color="auto" w:sz="4" w:space="0"/>
            </w:tcBorders>
            <w:noWrap/>
            <w:vAlign w:val="center"/>
          </w:tcPr>
          <w:p w14:paraId="33426A21">
            <w:pPr>
              <w:widowControl/>
              <w:spacing w:line="24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228</w:t>
            </w:r>
          </w:p>
        </w:tc>
        <w:tc>
          <w:tcPr>
            <w:tcW w:w="1337" w:type="dxa"/>
            <w:tcBorders>
              <w:top w:val="single" w:color="auto" w:sz="4" w:space="0"/>
              <w:left w:val="single" w:color="auto" w:sz="4" w:space="0"/>
              <w:bottom w:val="single" w:color="auto" w:sz="4" w:space="0"/>
              <w:right w:val="single" w:color="auto" w:sz="4" w:space="0"/>
            </w:tcBorders>
            <w:noWrap/>
            <w:vAlign w:val="center"/>
          </w:tcPr>
          <w:p w14:paraId="34C48E0B">
            <w:pPr>
              <w:widowControl/>
              <w:spacing w:line="24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4080</w:t>
            </w:r>
          </w:p>
        </w:tc>
      </w:tr>
      <w:tr w14:paraId="3AECD1F8">
        <w:tblPrEx>
          <w:tblCellMar>
            <w:top w:w="0" w:type="dxa"/>
            <w:left w:w="108" w:type="dxa"/>
            <w:bottom w:w="0" w:type="dxa"/>
            <w:right w:w="108" w:type="dxa"/>
          </w:tblCellMar>
        </w:tblPrEx>
        <w:trPr>
          <w:trHeight w:val="1783" w:hRule="atLeast"/>
        </w:trPr>
        <w:tc>
          <w:tcPr>
            <w:tcW w:w="9359" w:type="dxa"/>
            <w:gridSpan w:val="7"/>
            <w:tcBorders>
              <w:top w:val="single" w:color="auto" w:sz="4" w:space="0"/>
              <w:left w:val="single" w:color="auto" w:sz="4" w:space="0"/>
              <w:bottom w:val="single" w:color="auto" w:sz="4" w:space="0"/>
              <w:right w:val="single" w:color="auto" w:sz="4" w:space="0"/>
            </w:tcBorders>
            <w:noWrap/>
            <w:vAlign w:val="center"/>
          </w:tcPr>
          <w:p w14:paraId="422CF555">
            <w:pPr>
              <w:widowControl/>
              <w:spacing w:line="360" w:lineRule="auto"/>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其中：</w:t>
            </w:r>
          </w:p>
          <w:p w14:paraId="304A33D6">
            <w:pPr>
              <w:widowControl/>
              <w:numPr>
                <w:ilvl w:val="0"/>
                <w:numId w:val="0"/>
              </w:numPr>
              <w:spacing w:line="360" w:lineRule="auto"/>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bidi="ar-SA"/>
              </w:rPr>
              <w:t>（1）</w:t>
            </w:r>
            <w:r>
              <w:rPr>
                <w:rFonts w:hint="eastAsia" w:ascii="宋体" w:hAnsi="宋体" w:eastAsia="宋体" w:cs="宋体"/>
                <w:b/>
                <w:bCs/>
                <w:color w:val="000000"/>
                <w:kern w:val="0"/>
                <w:sz w:val="24"/>
                <w:szCs w:val="24"/>
                <w:highlight w:val="none"/>
                <w:lang w:val="en-US" w:eastAsia="zh-CN"/>
              </w:rPr>
              <w:t>低应变法检测费用控制单价为：人民币壹拾伍元整/根；</w:t>
            </w:r>
          </w:p>
          <w:p w14:paraId="654E9CA8">
            <w:pPr>
              <w:widowControl/>
              <w:numPr>
                <w:ilvl w:val="0"/>
                <w:numId w:val="0"/>
              </w:numPr>
              <w:spacing w:line="360" w:lineRule="auto"/>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bidi="ar-SA"/>
              </w:rPr>
              <w:t>（2）</w:t>
            </w:r>
            <w:r>
              <w:rPr>
                <w:rFonts w:hint="eastAsia" w:ascii="宋体" w:hAnsi="宋体" w:eastAsia="宋体" w:cs="宋体"/>
                <w:b/>
                <w:bCs/>
                <w:color w:val="000000"/>
                <w:kern w:val="0"/>
                <w:sz w:val="24"/>
                <w:szCs w:val="24"/>
                <w:highlight w:val="none"/>
                <w:lang w:val="en-US" w:eastAsia="zh-CN"/>
              </w:rPr>
              <w:t>单桩竖向抗压抗拔静载试验检测费用控制控制单价为：人民币叁拾伍元整/吨；</w:t>
            </w:r>
          </w:p>
          <w:p w14:paraId="642EE240">
            <w:pPr>
              <w:widowControl/>
              <w:numPr>
                <w:ilvl w:val="0"/>
                <w:numId w:val="0"/>
              </w:numPr>
              <w:spacing w:line="360" w:lineRule="auto"/>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highlight w:val="none"/>
                <w:lang w:val="en-US" w:eastAsia="zh-CN"/>
              </w:rPr>
              <w:t>（3）以上表格中</w:t>
            </w:r>
            <w:r>
              <w:rPr>
                <w:rFonts w:hint="eastAsia" w:ascii="宋体" w:hAnsi="宋体" w:eastAsia="宋体" w:cs="宋体"/>
                <w:b/>
                <w:bCs/>
                <w:sz w:val="24"/>
                <w:szCs w:val="24"/>
                <w:highlight w:val="none"/>
                <w:lang w:val="en-US" w:eastAsia="zh-CN"/>
              </w:rPr>
              <w:t>检测数量为暂定数量，最终以实际检测的数量为准，据实结算。</w:t>
            </w:r>
          </w:p>
        </w:tc>
      </w:tr>
    </w:tbl>
    <w:p w14:paraId="5FA21C8C">
      <w:pPr>
        <w:pStyle w:val="3"/>
        <w:pageBreakBefore w:val="0"/>
        <w:numPr>
          <w:ilvl w:val="0"/>
          <w:numId w:val="0"/>
        </w:numPr>
        <w:kinsoku/>
        <w:overflowPunct/>
        <w:topLinePunct w:val="0"/>
        <w:bidi w:val="0"/>
        <w:adjustRightInd w:val="0"/>
        <w:snapToGrid w:val="0"/>
        <w:spacing w:line="360" w:lineRule="auto"/>
        <w:ind w:firstLine="482" w:firstLineChars="200"/>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b/>
          <w:kern w:val="2"/>
          <w:sz w:val="24"/>
          <w:szCs w:val="24"/>
          <w:highlight w:val="none"/>
          <w:lang w:val="en-US" w:eastAsia="zh-CN" w:bidi="ar-SA"/>
        </w:rPr>
        <w:t>四、</w:t>
      </w:r>
      <w:bookmarkEnd w:id="4"/>
      <w:r>
        <w:rPr>
          <w:rFonts w:hint="eastAsia" w:eastAsia="宋体" w:cs="宋体"/>
          <w:kern w:val="2"/>
          <w:sz w:val="24"/>
          <w:szCs w:val="24"/>
          <w:highlight w:val="none"/>
          <w:lang w:val="en-US" w:eastAsia="zh-CN"/>
        </w:rPr>
        <w:t>服务要求</w:t>
      </w:r>
    </w:p>
    <w:p w14:paraId="3F1F1C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bookmarkStart w:id="7" w:name="_Toc16273"/>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桩基检测前，须经质</w:t>
      </w:r>
      <w:r>
        <w:rPr>
          <w:rFonts w:hint="eastAsia" w:ascii="宋体" w:hAnsi="宋体" w:eastAsia="宋体" w:cs="宋体"/>
          <w:sz w:val="24"/>
          <w:szCs w:val="24"/>
          <w:highlight w:val="none"/>
          <w:lang w:val="en-US" w:eastAsia="zh-CN"/>
        </w:rPr>
        <w:t>监</w:t>
      </w:r>
      <w:r>
        <w:rPr>
          <w:rFonts w:hint="eastAsia" w:ascii="宋体" w:hAnsi="宋体" w:eastAsia="宋体" w:cs="宋体"/>
          <w:sz w:val="24"/>
          <w:szCs w:val="24"/>
          <w:highlight w:val="none"/>
        </w:rPr>
        <w:t>部门同意后方可进行。</w:t>
      </w:r>
    </w:p>
    <w:p w14:paraId="28472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2、检测单位应根据本工程技术要求制定专项检测方案，检测方案经业主、监理等相关部门审批通过后方可进行检测工作。</w:t>
      </w:r>
    </w:p>
    <w:p w14:paraId="4FB52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检测方案应在桩基施工前制定，对检测工作需要的预埋件、预埋筋，检测单位应提前告知施工方，及时预埋。</w:t>
      </w:r>
    </w:p>
    <w:p w14:paraId="3F6586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桩基检测由建设单位组织监理单位、施工单位共同商定需检测的桩。</w:t>
      </w:r>
    </w:p>
    <w:p w14:paraId="3FC35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检测完成后，检测单位应向建设单位、设计单位提供完整的检测报告，检测报告的内容、格式应符合《建筑基桩检测技术规范》等规范规程的规定。</w:t>
      </w:r>
    </w:p>
    <w:p w14:paraId="2782E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color w:val="000000"/>
          <w:sz w:val="24"/>
          <w:szCs w:val="24"/>
          <w:highlight w:val="none"/>
          <w:lang w:val="en-US" w:eastAsia="zh-CN"/>
        </w:rPr>
        <w:t>检测仪器与设备：</w:t>
      </w:r>
      <w:r>
        <w:rPr>
          <w:rFonts w:hint="eastAsia" w:ascii="宋体" w:hAnsi="宋体" w:eastAsia="宋体" w:cs="宋体"/>
          <w:b/>
          <w:bCs/>
          <w:color w:val="000000"/>
          <w:sz w:val="24"/>
          <w:szCs w:val="24"/>
          <w:highlight w:val="none"/>
          <w:lang w:val="en-US" w:eastAsia="zh-CN"/>
        </w:rPr>
        <w:t>根据现场情况及实际需求，采购人要求增加检测设备的，投标人需按照采购人要求提供相应检测设备。</w:t>
      </w:r>
      <w:r>
        <w:rPr>
          <w:rFonts w:hint="eastAsia" w:ascii="宋体" w:hAnsi="宋体" w:eastAsia="宋体" w:cs="宋体"/>
          <w:color w:val="000000"/>
          <w:sz w:val="24"/>
          <w:szCs w:val="24"/>
          <w:highlight w:val="none"/>
          <w:lang w:val="en-US" w:eastAsia="zh-CN"/>
        </w:rPr>
        <w:t>所有仪器设备的主要技术性能和工作环境条件应符合《基桩动测仪》JG/T 518-2017中的规定，并具备良好的波形现场显示，记录和贮存功能，检测仪器设备必须由法定计量单位定期进行标定和年检，合格后方能使用。所有仪器设备在检测前后必须进行自检，确认仪器工作正常。</w:t>
      </w:r>
    </w:p>
    <w:bookmarkEnd w:id="7"/>
    <w:p w14:paraId="68AA3CBA">
      <w:pPr>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五、检测适用的标准、规范、规程及交工验收办法</w:t>
      </w:r>
      <w:bookmarkEnd w:id="5"/>
      <w:bookmarkEnd w:id="6"/>
      <w:bookmarkStart w:id="8" w:name="_Toc7485"/>
      <w:bookmarkStart w:id="9" w:name="_Toc23093"/>
    </w:p>
    <w:p w14:paraId="5E137D77">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1、相关要求</w:t>
      </w:r>
    </w:p>
    <w:p w14:paraId="61E7D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桩基检测必须执行国家最新的强制标准和国家或行业的最新的规范，必须满足设计部门的技术要求，为工程设计提供可靠、准确、详细的检测资料，以满足工程施工的需要，为工程设计及施工提供可信的检测数据。</w:t>
      </w:r>
    </w:p>
    <w:p w14:paraId="136493E7">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（2）其他要求按施工图纸及相关规范、标准执行。</w:t>
      </w:r>
    </w:p>
    <w:p w14:paraId="2B001A5E">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2、相关规范、标准</w:t>
      </w:r>
    </w:p>
    <w:p w14:paraId="04D6D79A">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（1）《建筑桩基技术规范》（JGJ94-2008）</w:t>
      </w:r>
    </w:p>
    <w:p w14:paraId="7C2D6E6B">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（2）《建筑地基基础工程施工质量验收规范》（GB5020-2002）</w:t>
      </w:r>
    </w:p>
    <w:p w14:paraId="17F9365D">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（3）《岩土工程勘察规范》（GB50021-2001,2009年版）</w:t>
      </w:r>
    </w:p>
    <w:p w14:paraId="40A53C2D">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（4）《建筑工程施工质量验收统一标准》（GB50300-2001）</w:t>
      </w:r>
    </w:p>
    <w:p w14:paraId="25D4361E">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（5）《建筑地基基础设计规范》（GB 50007-2011）</w:t>
      </w:r>
    </w:p>
    <w:p w14:paraId="740B520C">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（6）《建筑地基检测技术规范》（JGJ 340-2015）</w:t>
      </w:r>
    </w:p>
    <w:p w14:paraId="12CA3EDA">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（7）其他有关规范、标准文件</w:t>
      </w:r>
    </w:p>
    <w:p w14:paraId="667A75FF">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当使用于验收及质量鉴定检测的几种标准与规范出现意义不明或不一致时，在引用标准或规范发生分歧时应按以下顺序优先考虑：</w:t>
      </w:r>
    </w:p>
    <w:p w14:paraId="2191A6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（1）中华人民共和国国家标准；</w:t>
      </w:r>
    </w:p>
    <w:p w14:paraId="4270AC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（2）现行的行业标准或规范；</w:t>
      </w:r>
    </w:p>
    <w:p w14:paraId="02E88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（3）相关行业的标准或规范。</w:t>
      </w:r>
    </w:p>
    <w:p w14:paraId="52746049">
      <w:pPr>
        <w:pageBreakBefore w:val="0"/>
        <w:numPr>
          <w:ilvl w:val="0"/>
          <w:numId w:val="0"/>
        </w:numPr>
        <w:kinsoku/>
        <w:overflowPunct/>
        <w:topLinePunct w:val="0"/>
        <w:bidi w:val="0"/>
        <w:adjustRightInd w:val="0"/>
        <w:snapToGrid w:val="0"/>
        <w:spacing w:line="360" w:lineRule="auto"/>
        <w:ind w:left="0" w:leftChars="0" w:firstLine="472" w:firstLineChars="196"/>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六、</w:t>
      </w:r>
      <w:r>
        <w:rPr>
          <w:rFonts w:hint="eastAsia" w:ascii="宋体" w:hAnsi="宋体" w:eastAsia="宋体" w:cs="宋体"/>
          <w:b/>
          <w:bCs/>
          <w:color w:val="000000"/>
          <w:sz w:val="24"/>
          <w:szCs w:val="24"/>
          <w:highlight w:val="none"/>
          <w:lang w:eastAsia="zh-CN"/>
        </w:rPr>
        <w:t>踏勘现场</w:t>
      </w:r>
    </w:p>
    <w:p w14:paraId="4D2C2DAA">
      <w:pPr>
        <w:pageBreakBefore w:val="0"/>
        <w:numPr>
          <w:ilvl w:val="0"/>
          <w:numId w:val="0"/>
        </w:numPr>
        <w:kinsoku/>
        <w:overflowPunct/>
        <w:topLinePunct w:val="0"/>
        <w:bidi w:val="0"/>
        <w:adjustRightInd w:val="0"/>
        <w:snapToGrid w:val="0"/>
        <w:spacing w:line="360" w:lineRule="auto"/>
        <w:ind w:left="0" w:leftChars="0" w:firstLine="470" w:firstLineChars="19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行踏勘现场。响应人应认真对本项目实施现场环境进行踏勘，对项目环境和影响等因素，做出理性的判断和估价。投标报价包含劳务、材料、机械、管理、临时工程、税款、保险、利润及完成本项目所必须的其他辅助工作的相关费用等所有费用；成交后签订合同时和服务提供过程中，成交人不得以不了解或不完全了解现场情况为由，提出任何形式的增加费用或索赔的要求。</w:t>
      </w:r>
    </w:p>
    <w:p w14:paraId="42817782">
      <w:pPr>
        <w:pageBreakBefore w:val="0"/>
        <w:numPr>
          <w:ilvl w:val="0"/>
          <w:numId w:val="0"/>
        </w:numPr>
        <w:kinsoku/>
        <w:overflowPunct/>
        <w:topLinePunct w:val="0"/>
        <w:bidi w:val="0"/>
        <w:adjustRightInd w:val="0"/>
        <w:snapToGrid w:val="0"/>
        <w:spacing w:line="360" w:lineRule="auto"/>
        <w:ind w:left="0" w:leftChars="0" w:firstLine="472" w:firstLineChars="196"/>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七、</w:t>
      </w:r>
      <w:r>
        <w:rPr>
          <w:rFonts w:hint="eastAsia" w:ascii="宋体" w:hAnsi="宋体" w:eastAsia="宋体" w:cs="宋体"/>
          <w:b/>
          <w:bCs/>
          <w:color w:val="000000"/>
          <w:sz w:val="24"/>
          <w:szCs w:val="24"/>
          <w:highlight w:val="none"/>
          <w:lang w:val="en-US" w:eastAsia="zh-CN"/>
        </w:rPr>
        <w:t>其他要求</w:t>
      </w:r>
    </w:p>
    <w:p w14:paraId="2D1FA233">
      <w:pPr>
        <w:keepNext w:val="0"/>
        <w:keepLines w:val="0"/>
        <w:pageBreakBefore w:val="0"/>
        <w:widowControl w:val="0"/>
        <w:tabs>
          <w:tab w:val="left" w:pos="900"/>
        </w:tabs>
        <w:kinsoku/>
        <w:overflowPunct/>
        <w:topLinePunct w:val="0"/>
        <w:bidi w:val="0"/>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bookmarkStart w:id="10" w:name="_Toc1470"/>
      <w:r>
        <w:rPr>
          <w:rFonts w:hint="eastAsia" w:ascii="宋体" w:hAnsi="宋体" w:eastAsia="宋体" w:cs="宋体"/>
          <w:b w:val="0"/>
          <w:bCs/>
          <w:kern w:val="2"/>
          <w:sz w:val="24"/>
          <w:szCs w:val="24"/>
          <w:highlight w:val="none"/>
          <w:lang w:val="en-US" w:eastAsia="zh-CN" w:bidi="ar-SA"/>
        </w:rPr>
        <w:t>1、成交人需</w:t>
      </w:r>
      <w:r>
        <w:rPr>
          <w:rFonts w:hint="eastAsia" w:ascii="宋体" w:hAnsi="宋体" w:eastAsia="宋体" w:cs="宋体"/>
          <w:b w:val="0"/>
          <w:bCs w:val="0"/>
          <w:color w:val="000000"/>
          <w:sz w:val="24"/>
          <w:szCs w:val="24"/>
          <w:highlight w:val="none"/>
          <w:lang w:val="en-US" w:eastAsia="zh-CN"/>
        </w:rPr>
        <w:t>根据采购人提供的资料和图纸制定检测方案，实验完成后，提供检测报告。</w:t>
      </w:r>
    </w:p>
    <w:p w14:paraId="345EDA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2、当水泥搅拌桩检测不合格时，应在不合格桩附近扩大范围进行复测，复测产生的费用由施工单位承担。</w:t>
      </w:r>
    </w:p>
    <w:p w14:paraId="65145EB6">
      <w:pPr>
        <w:pStyle w:val="3"/>
        <w:pageBreakBefore w:val="0"/>
        <w:kinsoku/>
        <w:overflowPunct/>
        <w:topLinePunct w:val="0"/>
        <w:bidi w:val="0"/>
        <w:adjustRightInd w:val="0"/>
        <w:snapToGrid w:val="0"/>
        <w:spacing w:line="360" w:lineRule="auto"/>
        <w:ind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检测单位须保证本公司出具的检测数据能够准确、及时、真实，并对本公司出具的所有</w:t>
      </w:r>
      <w:r>
        <w:rPr>
          <w:rFonts w:hint="eastAsia" w:ascii="宋体" w:hAnsi="宋体" w:eastAsia="宋体" w:cs="宋体"/>
          <w:color w:val="000000"/>
          <w:sz w:val="24"/>
          <w:szCs w:val="24"/>
          <w:highlight w:val="none"/>
          <w:lang w:val="en-US" w:eastAsia="zh-CN"/>
        </w:rPr>
        <w:t>检测</w:t>
      </w:r>
      <w:r>
        <w:rPr>
          <w:rFonts w:hint="eastAsia" w:ascii="宋体" w:hAnsi="宋体" w:eastAsia="宋体" w:cs="宋体"/>
          <w:color w:val="000000"/>
          <w:sz w:val="24"/>
          <w:szCs w:val="24"/>
          <w:highlight w:val="none"/>
        </w:rPr>
        <w:t>报告负法律责任。</w:t>
      </w:r>
    </w:p>
    <w:bookmarkEnd w:id="8"/>
    <w:bookmarkEnd w:id="9"/>
    <w:bookmarkEnd w:id="10"/>
    <w:p w14:paraId="4B174FF5">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A4687"/>
    <w:multiLevelType w:val="multilevel"/>
    <w:tmpl w:val="65CA4687"/>
    <w:lvl w:ilvl="0" w:tentative="0">
      <w:start w:val="1"/>
      <w:numFmt w:val="decimal"/>
      <w:pStyle w:val="2"/>
      <w:lvlText w:val="（%1）"/>
      <w:lvlJc w:val="left"/>
      <w:pPr>
        <w:ind w:left="1984" w:hanging="525"/>
      </w:pPr>
      <w:rPr>
        <w:rFonts w:hint="default" w:ascii="Noto Sans Mono CJK JP Bold" w:hAnsi="Noto Sans Mono CJK JP Bold" w:eastAsia="Times New Roman" w:cs="Noto Sans Mono CJK JP Bold"/>
        <w:spacing w:val="-1"/>
        <w:w w:val="99"/>
        <w:sz w:val="19"/>
        <w:szCs w:val="19"/>
      </w:rPr>
    </w:lvl>
    <w:lvl w:ilvl="1" w:tentative="0">
      <w:start w:val="0"/>
      <w:numFmt w:val="bullet"/>
      <w:lvlText w:val="•"/>
      <w:lvlJc w:val="left"/>
      <w:pPr>
        <w:ind w:left="2820" w:hanging="525"/>
      </w:pPr>
      <w:rPr>
        <w:rFonts w:hint="default"/>
      </w:rPr>
    </w:lvl>
    <w:lvl w:ilvl="2" w:tentative="0">
      <w:start w:val="0"/>
      <w:numFmt w:val="bullet"/>
      <w:lvlText w:val="•"/>
      <w:lvlJc w:val="left"/>
      <w:pPr>
        <w:ind w:left="3661" w:hanging="525"/>
      </w:pPr>
      <w:rPr>
        <w:rFonts w:hint="default"/>
      </w:rPr>
    </w:lvl>
    <w:lvl w:ilvl="3" w:tentative="0">
      <w:start w:val="0"/>
      <w:numFmt w:val="bullet"/>
      <w:lvlText w:val="•"/>
      <w:lvlJc w:val="left"/>
      <w:pPr>
        <w:ind w:left="4501" w:hanging="525"/>
      </w:pPr>
      <w:rPr>
        <w:rFonts w:hint="default"/>
      </w:rPr>
    </w:lvl>
    <w:lvl w:ilvl="4" w:tentative="0">
      <w:start w:val="0"/>
      <w:numFmt w:val="bullet"/>
      <w:lvlText w:val="•"/>
      <w:lvlJc w:val="left"/>
      <w:pPr>
        <w:ind w:left="5342" w:hanging="525"/>
      </w:pPr>
      <w:rPr>
        <w:rFonts w:hint="default"/>
      </w:rPr>
    </w:lvl>
    <w:lvl w:ilvl="5" w:tentative="0">
      <w:start w:val="0"/>
      <w:numFmt w:val="bullet"/>
      <w:lvlText w:val="•"/>
      <w:lvlJc w:val="left"/>
      <w:pPr>
        <w:ind w:left="6183" w:hanging="525"/>
      </w:pPr>
      <w:rPr>
        <w:rFonts w:hint="default"/>
      </w:rPr>
    </w:lvl>
    <w:lvl w:ilvl="6" w:tentative="0">
      <w:start w:val="0"/>
      <w:numFmt w:val="bullet"/>
      <w:lvlText w:val="•"/>
      <w:lvlJc w:val="left"/>
      <w:pPr>
        <w:ind w:left="7023" w:hanging="525"/>
      </w:pPr>
      <w:rPr>
        <w:rFonts w:hint="default"/>
      </w:rPr>
    </w:lvl>
    <w:lvl w:ilvl="7" w:tentative="0">
      <w:start w:val="0"/>
      <w:numFmt w:val="bullet"/>
      <w:lvlText w:val="•"/>
      <w:lvlJc w:val="left"/>
      <w:pPr>
        <w:ind w:left="7864" w:hanging="525"/>
      </w:pPr>
      <w:rPr>
        <w:rFonts w:hint="default"/>
      </w:rPr>
    </w:lvl>
    <w:lvl w:ilvl="8" w:tentative="0">
      <w:start w:val="0"/>
      <w:numFmt w:val="bullet"/>
      <w:lvlText w:val="•"/>
      <w:lvlJc w:val="left"/>
      <w:pPr>
        <w:ind w:left="8704" w:hanging="5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15E72"/>
    <w:rsid w:val="33B1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
    <w:qFormat/>
    <w:uiPriority w:val="99"/>
    <w:pPr>
      <w:keepNext/>
      <w:widowControl/>
      <w:numPr>
        <w:ilvl w:val="0"/>
        <w:numId w:val="1"/>
      </w:numPr>
      <w:tabs>
        <w:tab w:val="left" w:pos="432"/>
      </w:tabs>
      <w:autoSpaceDE/>
      <w:autoSpaceDN/>
      <w:spacing w:before="140" w:after="200" w:line="340" w:lineRule="exact"/>
      <w:jc w:val="center"/>
      <w:outlineLvl w:val="0"/>
    </w:pPr>
    <w:rPr>
      <w:rFonts w:ascii="黑体" w:hAnsi="黑体" w:cs="Times New Roman"/>
      <w:b/>
      <w:sz w:val="32"/>
      <w:szCs w:val="20"/>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hAnsi="宋体"/>
      <w:b/>
      <w:kern w:val="0"/>
      <w:sz w:val="24"/>
      <w:szCs w:val="20"/>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link w:val="2"/>
    <w:qFormat/>
    <w:locked/>
    <w:uiPriority w:val="99"/>
    <w:rPr>
      <w:rFonts w:ascii="黑体" w:hAnsi="黑体" w:cs="Times New Roman"/>
      <w:b/>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2025-04-03T06:43:00Z</dcterms:created>
  <dc:creator>詹林</dc:creator>
  <cp:lastModifiedBy>詹林</cp:lastModifiedBy>
  <dcterms:modified xsi:type="dcterms:W3CDTF">2025-04-03T06:43:53Z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CA70808BAB684D01B302ADAA8283964B_11</vt:lpwstr>
  </property>
  <property fmtid="{D5CDD505-2E9C-101B-9397-08002B2CF9AE}" pid="4" name="KSOTemplateDocerSaveRecord">
    <vt:lpwstr>eyJoZGlkIjoiMmMzZjMwOGY0ZmNlMzViZjU0MGI1MTljMmI4NGYxMjIiLCJ1c2VySWQiOiI2NzUzODgzODgifQ==</vt:lpwstr>
  </property>
</Properties>
</file>