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2149B">
      <w:pPr>
        <w:pStyle w:val="2"/>
        <w:rPr>
          <w:rFonts w:ascii="宋体" w:hAnsi="宋体" w:cs="宋体"/>
          <w:color w:val="000000"/>
          <w:highlight w:val="none"/>
        </w:rPr>
      </w:pPr>
      <w:bookmarkStart w:id="0" w:name="_Toc18076"/>
      <w:bookmarkStart w:id="1" w:name="_Toc28101"/>
      <w:bookmarkStart w:id="2" w:name="_Toc15203"/>
      <w:r>
        <w:rPr>
          <w:rFonts w:hint="eastAsia" w:ascii="宋体" w:hAnsi="宋体" w:cs="宋体"/>
          <w:color w:val="000000"/>
          <w:highlight w:val="none"/>
        </w:rPr>
        <w:t>第三章</w:t>
      </w:r>
      <w:r>
        <w:rPr>
          <w:rFonts w:hint="eastAsia" w:ascii="宋体" w:hAnsi="宋体" w:cs="宋体"/>
          <w:color w:val="000000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highlight w:val="none"/>
        </w:rPr>
        <w:t xml:space="preserve"> </w:t>
      </w:r>
      <w:r>
        <w:rPr>
          <w:rFonts w:hint="eastAsia" w:ascii="宋体" w:hAnsi="宋体" w:cs="宋体"/>
          <w:color w:val="000000"/>
          <w:highlight w:val="none"/>
          <w:lang w:val="en-US" w:eastAsia="zh-CN"/>
        </w:rPr>
        <w:t xml:space="preserve"> 货物</w:t>
      </w:r>
      <w:r>
        <w:rPr>
          <w:rFonts w:hint="eastAsia" w:ascii="宋体" w:hAnsi="宋体" w:cs="宋体"/>
          <w:color w:val="000000"/>
          <w:highlight w:val="none"/>
        </w:rPr>
        <w:t>需求及</w:t>
      </w:r>
      <w:r>
        <w:rPr>
          <w:rFonts w:hint="eastAsia" w:ascii="宋体" w:hAnsi="宋体" w:cs="宋体"/>
          <w:color w:val="000000"/>
          <w:highlight w:val="none"/>
          <w:lang w:val="en-US" w:eastAsia="zh-CN"/>
        </w:rPr>
        <w:t>技术</w:t>
      </w:r>
      <w:r>
        <w:rPr>
          <w:rFonts w:hint="eastAsia" w:ascii="宋体" w:hAnsi="宋体" w:cs="宋体"/>
          <w:color w:val="000000"/>
          <w:highlight w:val="none"/>
        </w:rPr>
        <w:t>要求</w:t>
      </w:r>
      <w:bookmarkEnd w:id="0"/>
      <w:bookmarkEnd w:id="1"/>
      <w:bookmarkEnd w:id="2"/>
    </w:p>
    <w:p w14:paraId="37A6FA24">
      <w:pPr>
        <w:widowControl/>
        <w:spacing w:line="500" w:lineRule="exact"/>
        <w:ind w:firstLine="430"/>
        <w:jc w:val="left"/>
        <w:rPr>
          <w:rFonts w:hint="eastAsia" w:ascii="宋体" w:hAnsi="宋体"/>
          <w:b/>
          <w:bCs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sz w:val="21"/>
          <w:szCs w:val="21"/>
          <w:highlight w:val="none"/>
        </w:rPr>
        <w:t>为鼓励不同品牌的充分竞争，如某设备的某技术参数或要求属于个别品牌专有，则该技术参数及要求不具有限制性，</w:t>
      </w:r>
      <w:r>
        <w:rPr>
          <w:rFonts w:hint="eastAsia" w:ascii="宋体" w:hAnsi="宋体"/>
          <w:b/>
          <w:bCs/>
          <w:sz w:val="21"/>
          <w:szCs w:val="21"/>
          <w:highlight w:val="none"/>
          <w:lang w:eastAsia="zh-CN"/>
        </w:rPr>
        <w:t>响应</w:t>
      </w:r>
      <w:r>
        <w:rPr>
          <w:rFonts w:hint="eastAsia" w:ascii="宋体" w:hAnsi="宋体"/>
          <w:b/>
          <w:bCs/>
          <w:sz w:val="21"/>
          <w:szCs w:val="21"/>
          <w:highlight w:val="none"/>
        </w:rPr>
        <w:t>人可对该参数或要求进行适当调整，但这种调整整体上要优于或相当于</w:t>
      </w:r>
      <w:r>
        <w:rPr>
          <w:rFonts w:hint="eastAsia" w:ascii="宋体" w:hAnsi="宋体"/>
          <w:b/>
          <w:bCs/>
          <w:sz w:val="21"/>
          <w:szCs w:val="21"/>
          <w:highlight w:val="none"/>
          <w:lang w:eastAsia="zh-CN"/>
        </w:rPr>
        <w:t>谈判</w:t>
      </w:r>
      <w:r>
        <w:rPr>
          <w:rFonts w:hint="eastAsia" w:ascii="宋体" w:hAnsi="宋体"/>
          <w:b/>
          <w:bCs/>
          <w:sz w:val="21"/>
          <w:szCs w:val="21"/>
          <w:highlight w:val="none"/>
        </w:rPr>
        <w:t>文件的相关要求，并说明调整理由，且该调整须经</w:t>
      </w:r>
      <w:r>
        <w:rPr>
          <w:rFonts w:hint="eastAsia" w:ascii="宋体" w:hAnsi="宋体"/>
          <w:b/>
          <w:bCs/>
          <w:sz w:val="21"/>
          <w:szCs w:val="21"/>
          <w:highlight w:val="none"/>
          <w:lang w:eastAsia="zh-CN"/>
        </w:rPr>
        <w:t>谈判小组</w:t>
      </w:r>
      <w:r>
        <w:rPr>
          <w:rFonts w:hint="eastAsia" w:ascii="宋体" w:hAnsi="宋体"/>
          <w:b/>
          <w:bCs/>
          <w:sz w:val="21"/>
          <w:szCs w:val="21"/>
          <w:highlight w:val="none"/>
        </w:rPr>
        <w:t>审核认可。</w:t>
      </w:r>
    </w:p>
    <w:p w14:paraId="37A14BA7">
      <w:pPr>
        <w:numPr>
          <w:ilvl w:val="0"/>
          <w:numId w:val="0"/>
        </w:numPr>
        <w:ind w:firstLine="422" w:firstLineChars="200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一、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商务要求：</w:t>
      </w:r>
    </w:p>
    <w:p w14:paraId="6D862A99">
      <w:pPr>
        <w:numPr>
          <w:ilvl w:val="0"/>
          <w:numId w:val="0"/>
        </w:numP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</w:p>
    <w:tbl>
      <w:tblPr>
        <w:tblStyle w:val="4"/>
        <w:tblW w:w="8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077"/>
        <w:gridCol w:w="5658"/>
      </w:tblGrid>
      <w:tr w14:paraId="1F4A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08" w:type="dxa"/>
            <w:vAlign w:val="center"/>
          </w:tcPr>
          <w:p w14:paraId="3F5DF1A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077" w:type="dxa"/>
            <w:vAlign w:val="center"/>
          </w:tcPr>
          <w:p w14:paraId="6A53455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商务条款名称</w:t>
            </w:r>
          </w:p>
        </w:tc>
        <w:tc>
          <w:tcPr>
            <w:tcW w:w="5658" w:type="dxa"/>
            <w:vAlign w:val="center"/>
          </w:tcPr>
          <w:p w14:paraId="5DB4329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具体要求内容</w:t>
            </w:r>
          </w:p>
        </w:tc>
      </w:tr>
      <w:tr w14:paraId="79B2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  <w:jc w:val="center"/>
        </w:trPr>
        <w:tc>
          <w:tcPr>
            <w:tcW w:w="808" w:type="dxa"/>
            <w:vAlign w:val="center"/>
          </w:tcPr>
          <w:p w14:paraId="62FEAE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77" w:type="dxa"/>
            <w:vAlign w:val="center"/>
          </w:tcPr>
          <w:p w14:paraId="67FAD2E1"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付款方式</w:t>
            </w:r>
          </w:p>
        </w:tc>
        <w:tc>
          <w:tcPr>
            <w:tcW w:w="5658" w:type="dxa"/>
            <w:vAlign w:val="center"/>
          </w:tcPr>
          <w:p w14:paraId="47B2AEBF">
            <w:pPr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验收合格后付合同总价的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95</w:t>
            </w:r>
            <w:r>
              <w:rPr>
                <w:rFonts w:hint="eastAsia"/>
                <w:sz w:val="21"/>
                <w:szCs w:val="21"/>
                <w:highlight w:val="none"/>
              </w:rPr>
              <w:t>%，质保期满后支付尾款合同总价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  <w:highlight w:val="none"/>
              </w:rPr>
              <w:t>%。付款前需提供全额的增值税专用发票。（支付形式：转账/电汇或现金或银行承兑汇票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保理等</w:t>
            </w:r>
            <w:r>
              <w:rPr>
                <w:rFonts w:hint="eastAsia"/>
                <w:sz w:val="21"/>
                <w:szCs w:val="21"/>
                <w:highlight w:val="none"/>
              </w:rPr>
              <w:t>）</w:t>
            </w:r>
          </w:p>
        </w:tc>
      </w:tr>
      <w:tr w14:paraId="72C53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808" w:type="dxa"/>
            <w:vAlign w:val="center"/>
          </w:tcPr>
          <w:p w14:paraId="192228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077" w:type="dxa"/>
            <w:vAlign w:val="center"/>
          </w:tcPr>
          <w:p w14:paraId="7057A6FB">
            <w:pPr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供货及安装地点</w:t>
            </w:r>
          </w:p>
        </w:tc>
        <w:tc>
          <w:tcPr>
            <w:tcW w:w="5658" w:type="dxa"/>
            <w:vAlign w:val="center"/>
          </w:tcPr>
          <w:p w14:paraId="0AC7391D">
            <w:pPr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安庆孵化园食堂</w:t>
            </w:r>
          </w:p>
        </w:tc>
      </w:tr>
      <w:tr w14:paraId="5E78A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808" w:type="dxa"/>
            <w:vAlign w:val="center"/>
          </w:tcPr>
          <w:p w14:paraId="448BF4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077" w:type="dxa"/>
            <w:vAlign w:val="center"/>
          </w:tcPr>
          <w:p w14:paraId="148262B7">
            <w:pPr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供货及安装期限</w:t>
            </w:r>
          </w:p>
        </w:tc>
        <w:tc>
          <w:tcPr>
            <w:tcW w:w="5658" w:type="dxa"/>
            <w:vAlign w:val="center"/>
          </w:tcPr>
          <w:p w14:paraId="3A0AB70D">
            <w:pPr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en-US" w:eastAsia="zh-CN"/>
              </w:rPr>
              <w:t>自采购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人</w:t>
            </w:r>
            <w:r>
              <w:rPr>
                <w:rFonts w:hint="default"/>
                <w:sz w:val="21"/>
                <w:szCs w:val="21"/>
                <w:highlight w:val="none"/>
                <w:lang w:val="en-US" w:eastAsia="zh-CN"/>
              </w:rPr>
              <w:t>通知供货之日起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highlight w:val="none"/>
                <w:lang w:val="en-US" w:eastAsia="zh-CN"/>
              </w:rPr>
              <w:t>日历天。</w:t>
            </w:r>
          </w:p>
        </w:tc>
      </w:tr>
      <w:tr w14:paraId="2C9B4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08" w:type="dxa"/>
            <w:vAlign w:val="center"/>
          </w:tcPr>
          <w:p w14:paraId="772E4FD5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77" w:type="dxa"/>
            <w:vAlign w:val="center"/>
          </w:tcPr>
          <w:p w14:paraId="03D9FF9B">
            <w:pPr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免费质保期</w:t>
            </w:r>
          </w:p>
        </w:tc>
        <w:tc>
          <w:tcPr>
            <w:tcW w:w="5658" w:type="dxa"/>
            <w:vAlign w:val="center"/>
          </w:tcPr>
          <w:p w14:paraId="6B520CB5">
            <w:pPr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3年，质保期间如成交人不履约采购人有权拒付并扣除尾款。</w:t>
            </w:r>
          </w:p>
        </w:tc>
      </w:tr>
      <w:tr w14:paraId="3AB62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808" w:type="dxa"/>
            <w:vAlign w:val="center"/>
          </w:tcPr>
          <w:p w14:paraId="400CB46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77" w:type="dxa"/>
            <w:vAlign w:val="center"/>
          </w:tcPr>
          <w:p w14:paraId="07B3744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商品包装要求</w:t>
            </w:r>
          </w:p>
        </w:tc>
        <w:tc>
          <w:tcPr>
            <w:tcW w:w="5658" w:type="dxa"/>
            <w:vAlign w:val="center"/>
          </w:tcPr>
          <w:p w14:paraId="2911A289">
            <w:pPr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除另有约定外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default"/>
                <w:sz w:val="21"/>
                <w:szCs w:val="21"/>
              </w:rPr>
              <w:t>供应商交付全部货物的包装要求严格按照国家强制标准执行。</w:t>
            </w:r>
          </w:p>
        </w:tc>
      </w:tr>
    </w:tbl>
    <w:p w14:paraId="20C4897B">
      <w:pPr>
        <w:numPr>
          <w:ilvl w:val="0"/>
          <w:numId w:val="0"/>
        </w:numPr>
        <w:ind w:firstLine="422" w:firstLineChars="200"/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</w:pPr>
    </w:p>
    <w:p w14:paraId="78CB2007">
      <w:pPr>
        <w:pStyle w:val="3"/>
        <w:tabs>
          <w:tab w:val="left" w:pos="2730"/>
        </w:tabs>
        <w:ind w:firstLine="413" w:firstLineChars="196"/>
        <w:rPr>
          <w:rFonts w:hint="eastAsia" w:hAnsi="宋体"/>
          <w:bCs/>
          <w:color w:val="auto"/>
          <w:sz w:val="21"/>
          <w:szCs w:val="21"/>
          <w:highlight w:val="none"/>
        </w:rPr>
      </w:pPr>
      <w:r>
        <w:rPr>
          <w:rFonts w:hint="eastAsia" w:hAnsi="宋体"/>
          <w:bCs/>
          <w:color w:val="auto"/>
          <w:sz w:val="21"/>
          <w:szCs w:val="21"/>
          <w:highlight w:val="none"/>
        </w:rPr>
        <w:t>二、技术要求一览表</w:t>
      </w:r>
    </w:p>
    <w:tbl>
      <w:tblPr>
        <w:tblStyle w:val="5"/>
        <w:tblpPr w:leftFromText="180" w:rightFromText="180" w:vertAnchor="text" w:horzAnchor="page" w:tblpX="1090" w:tblpY="314"/>
        <w:tblOverlap w:val="never"/>
        <w:tblW w:w="10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943"/>
        <w:gridCol w:w="4908"/>
        <w:gridCol w:w="555"/>
        <w:gridCol w:w="600"/>
        <w:gridCol w:w="2700"/>
      </w:tblGrid>
      <w:tr w14:paraId="09647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43" w:type="dxa"/>
            <w:shd w:val="clear" w:color="auto" w:fill="auto"/>
            <w:vAlign w:val="center"/>
          </w:tcPr>
          <w:p w14:paraId="0A13177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A0E69D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货物</w:t>
            </w:r>
          </w:p>
          <w:p w14:paraId="5DA5D7E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7CC97DB7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技术参数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要求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446EEEE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29AA22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ABB7C0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参考图片</w:t>
            </w:r>
          </w:p>
        </w:tc>
      </w:tr>
      <w:tr w14:paraId="2E7BD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449" w:type="dxa"/>
            <w:gridSpan w:val="6"/>
            <w:shd w:val="clear" w:color="auto" w:fill="auto"/>
            <w:vAlign w:val="center"/>
          </w:tcPr>
          <w:p w14:paraId="6D8C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一楼机关食堂</w:t>
            </w:r>
          </w:p>
        </w:tc>
      </w:tr>
      <w:tr w14:paraId="7C23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shd w:val="clear" w:color="auto" w:fill="auto"/>
            <w:vAlign w:val="center"/>
          </w:tcPr>
          <w:p w14:paraId="6266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44D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六眼煲仔炉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2D40E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1200×900×800+400mm(±10%）</w:t>
            </w:r>
          </w:p>
          <w:p w14:paraId="61D6D8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1.炉灶框架：台面不锈钢304材质</w:t>
            </w:r>
            <w:r>
              <w:rPr>
                <w:rFonts w:hint="eastAsia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1.2mm厚，其它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部位</w:t>
            </w:r>
            <w:r>
              <w:rPr>
                <w:rFonts w:hint="eastAsia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1.0mm厚，全不锈钢骨架。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2.燃烧系统：8角煲仔炉炉头，圆角连体花板。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3.控制系统：单线电热偶感应，一键式脉冲点火，熄火保护。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4.产品具有“中国国家强制性产品认证证书”且在有效期内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（响应文件中提供）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5.产品符合GB35848-2024《商用燃气燃烧器具》要求。</w:t>
            </w:r>
          </w:p>
          <w:p w14:paraId="6B26C7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6.所投设备不锈钢38*38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方管中镍含量不大于0.083 mg/kg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0301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台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A09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76D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590675" cy="1489710"/>
                  <wp:effectExtent l="0" t="0" r="9525" b="15240"/>
                  <wp:docPr id="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48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92F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shd w:val="clear" w:color="auto" w:fill="auto"/>
            <w:vAlign w:val="center"/>
          </w:tcPr>
          <w:p w14:paraId="0D6F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06E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双炒双温灶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06347A04">
            <w:pPr>
              <w:widowControl/>
              <w:spacing w:line="2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2000*1200*800+400mm(±10%）</w:t>
            </w:r>
          </w:p>
          <w:p w14:paraId="3E22D433">
            <w:pPr>
              <w:widowControl/>
              <w:spacing w:line="2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1.炉灶框架：台面不锈钢304材质</w:t>
            </w:r>
            <w:r>
              <w:rPr>
                <w:rFonts w:hint="eastAsia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1.2mm厚+发泡+不锈钢复板，其它</w:t>
            </w:r>
            <w:r>
              <w:rPr>
                <w:rFonts w:hint="eastAsia"/>
                <w:highlight w:val="none"/>
                <w:lang w:val="en-US" w:eastAsia="zh-CN"/>
              </w:rPr>
              <w:t>部位≥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1.0mm厚，全不锈钢骨架。不锈钢304#水龙头，不锈钢手柄+不锈钢十字水阀。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2.燃烧系统：球墨铸铁加厚炉圈。高铝整体炉膛+高温水泥和不锈钢外包。高深广式炉头。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3.控制器系统：熄火保护器，不锈钢 </w:t>
            </w:r>
            <w:r>
              <w:rPr>
                <w:rFonts w:hint="eastAsia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IPX4 防水按键启动开关，中压250w风机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4.带风气联动，可调大小火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5.产品具有“中国国家强制性产品认证证书”且在有效期内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（响应文件中提供）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6.产品符合GB35848-2024《商用燃气燃烧器具》要求。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7.点火装置选用符合GB/T38756规定的零部件，熄火安全时间应不大于2S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8.产品不锈钢板材依据GB4806.9-2023 标准其中镍含量不大于0.003 mg/kg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9.产品具有食品接触产品安全认证证书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（响应文件中提供）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213D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台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D51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3D4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501775" cy="1228090"/>
                  <wp:effectExtent l="0" t="0" r="3175" b="1016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775" cy="1228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4A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shd w:val="clear" w:color="auto" w:fill="auto"/>
            <w:vAlign w:val="center"/>
          </w:tcPr>
          <w:p w14:paraId="4DD5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96D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平板操作台冷藏柜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14E8E067">
            <w:pPr>
              <w:numPr>
                <w:ilvl w:val="0"/>
                <w:numId w:val="0"/>
              </w:numPr>
              <w:spacing w:line="2" w:lineRule="atLeast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1800*800*800mm(±10%）</w:t>
            </w:r>
          </w:p>
          <w:p w14:paraId="1A1968F4">
            <w:pPr>
              <w:numPr>
                <w:ilvl w:val="0"/>
                <w:numId w:val="0"/>
              </w:numPr>
              <w:spacing w:line="2" w:lineRule="atLeast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内外箱板材均为加厚不锈钢板；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一级能效；</w:t>
            </w:r>
          </w:p>
          <w:p w14:paraId="28C440F2">
            <w:pPr>
              <w:numPr>
                <w:ilvl w:val="0"/>
                <w:numId w:val="0"/>
              </w:numPr>
              <w:spacing w:line="2" w:lineRule="atLeast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3.全铜管冷凝器、蒸发器,铜管外部增加电镀涂层防护；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4.配备强制蒸发装置，自动蒸发化霜水；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5.整体式发泡工艺，整体平整、耐用；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6.产品能在43℃的环境温度下正常工作；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7.置于箱体内部的高效防露加热丝，能有效防止门框结露；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8.冰箱配备了门体自动关闭结构，方便客户操作；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9.配置先进智能温度控制器温度更精准；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10.温度范围：-6~12℃；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11.制冷方式：直冷，制冷剂：R134A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12.电压/频率：220v/50HZ；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13.产品需经过电器电子产品国推ROHS认证并提供有效的认证证书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（响应文件中提供）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6A5D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台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B72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03E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568450" cy="888365"/>
                  <wp:effectExtent l="0" t="0" r="12700" b="6985"/>
                  <wp:docPr id="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888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AF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shd w:val="clear" w:color="auto" w:fill="auto"/>
            <w:vAlign w:val="center"/>
          </w:tcPr>
          <w:p w14:paraId="7389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C8B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六门冷藏冷冻冰箱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11B50216">
            <w:pPr>
              <w:spacing w:line="2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1820*750*1960mm(±10%）</w:t>
            </w:r>
          </w:p>
          <w:p w14:paraId="250408B3">
            <w:pPr>
              <w:spacing w:line="2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1.内外箱板材均为加厚不锈钢板；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2.一级能效；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3.全铜管冷凝器、蒸发器,铜管外部增加电镀涂层防护；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4.配备强制蒸发装置，自动蒸发化霜水；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5.整体式发泡工艺，整体平整、耐用；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6.产品能在43℃的环境温度下正常工作；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7.置于箱体内部的高效防露加热丝，能有效防止门框结露；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8.冰箱配备了门体自动关闭结构，方便客户操作；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9.配置先进智能温度控制器温度更精准；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10.温度范围：冷冻-10~-18℃  冷藏-6~12℃；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11.制冷方式：直冷，制冷剂：R134A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12.电压/频率：220v/50HZ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5E46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台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F4A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061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348105" cy="1492885"/>
                  <wp:effectExtent l="0" t="0" r="4445" b="12065"/>
                  <wp:docPr id="1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105" cy="149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946B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shd w:val="clear" w:color="auto" w:fill="auto"/>
            <w:vAlign w:val="center"/>
          </w:tcPr>
          <w:p w14:paraId="3395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6FE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单眼大锅灶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148D0C03">
            <w:pPr>
              <w:numPr>
                <w:ilvl w:val="0"/>
                <w:numId w:val="0"/>
              </w:numPr>
              <w:spacing w:line="2" w:lineRule="atLeast"/>
              <w:ind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1100*1200*800+400mm(±10%）</w:t>
            </w:r>
          </w:p>
          <w:p w14:paraId="6DCA1DC6">
            <w:pPr>
              <w:numPr>
                <w:ilvl w:val="0"/>
                <w:numId w:val="0"/>
              </w:numPr>
              <w:spacing w:line="2" w:lineRule="atLeast"/>
              <w:ind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1.炉灶框架：台面不锈钢304材质</w:t>
            </w:r>
            <w:r>
              <w:rPr>
                <w:rFonts w:hint="eastAsia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1.2mm厚+发泡+不锈钢复板，其它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部位</w:t>
            </w:r>
            <w:r>
              <w:rPr>
                <w:rFonts w:hint="eastAsia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1.0mm厚，全不锈钢骨架。不锈钢304#水龙头，不锈钢手柄。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2.双重不锈钢炉膛，水泥灌注式，耐用性高，生铁锅。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3.控制器系统：不锈钢</w:t>
            </w:r>
            <w:r>
              <w:rPr>
                <w:rFonts w:hint="eastAsia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IPX4 防水按键启动开关、熄火保护器，中压180w风机。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4.带风气联动，可调大小火。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5.产品具有“中国国家强制性产品认证证书”且在有效期内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（响应文件中提供）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6.产品符合GB35848-2024《商用燃气燃烧器具》要求。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7.点火装置选用符合GB/T38756规定的零部件，熄火安全时间不大于2S。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8.产品不锈钢板材依据GB4806.9-2023 标准其中镍含量不大于0.003 mg/kg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9.产品具有食品接触产品安全认证证书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（响应文件中提供）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10.所投设备不锈钢38*38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方管中镍含量不大于0.083 mg/kg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293B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台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9EB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A81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388110" cy="1609725"/>
                  <wp:effectExtent l="0" t="0" r="2540" b="9525"/>
                  <wp:docPr id="2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4C32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shd w:val="clear" w:color="auto" w:fill="auto"/>
            <w:vAlign w:val="center"/>
          </w:tcPr>
          <w:p w14:paraId="0734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FBC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单眼矮汤炉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11B536E1">
            <w:pPr>
              <w:numPr>
                <w:ilvl w:val="0"/>
                <w:numId w:val="0"/>
              </w:numPr>
              <w:spacing w:line="2" w:lineRule="atLeast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700×750×500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(±10%）</w:t>
            </w:r>
          </w:p>
          <w:p w14:paraId="6E50461A">
            <w:pPr>
              <w:numPr>
                <w:ilvl w:val="0"/>
                <w:numId w:val="0"/>
              </w:numPr>
              <w:spacing w:line="2" w:lineRule="atLeast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1.台面/背板：≥1.2mm不锈钢板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2.面板/侧板：≥1.0mm不锈钢板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3.台面座活动铸铁炉花，配大号炉头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4.熄火保护，铜制气阀，气管采用国标镀锌管及配套管件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5.立柱：ø38*1.0mm不锈钢圆管，下配不锈钢可调节脚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6.控制系统：单线电热偶感应，一键式脉冲点火，熄火保护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7.产品符合GB35848-2024《商用燃气燃烧器具》要求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3FF2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台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C94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BFE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drawing>
                <wp:inline distT="0" distB="0" distL="114300" distR="114300">
                  <wp:extent cx="1238885" cy="1503045"/>
                  <wp:effectExtent l="0" t="0" r="18415" b="1905"/>
                  <wp:docPr id="2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885" cy="1503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C7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449" w:type="dxa"/>
            <w:gridSpan w:val="6"/>
            <w:shd w:val="clear" w:color="auto" w:fill="auto"/>
            <w:vAlign w:val="center"/>
          </w:tcPr>
          <w:p w14:paraId="35F5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二楼职工食堂</w:t>
            </w:r>
          </w:p>
        </w:tc>
      </w:tr>
      <w:tr w14:paraId="508C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shd w:val="clear" w:color="auto" w:fill="auto"/>
            <w:vAlign w:val="center"/>
          </w:tcPr>
          <w:p w14:paraId="0D96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719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售卖加热台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（五格）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3C9A0A8A">
            <w:pPr>
              <w:widowControl/>
              <w:spacing w:line="2" w:lineRule="atLeas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商用级，额定公率2000w额定电压220V尺寸适配现有售卖窗口（长1.8米*宽80厘米*高80厘米），带防漏电保护、防干烧，温度可调功能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4105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台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CDC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07D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drawing>
                <wp:inline distT="0" distB="0" distL="114300" distR="114300">
                  <wp:extent cx="1576070" cy="876935"/>
                  <wp:effectExtent l="0" t="0" r="5080" b="18415"/>
                  <wp:docPr id="2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07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7A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shd w:val="clear" w:color="auto" w:fill="auto"/>
            <w:vAlign w:val="center"/>
          </w:tcPr>
          <w:p w14:paraId="03E9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3AA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售卖加热台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（充控）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521EE4DD">
            <w:pPr>
              <w:widowControl/>
              <w:spacing w:line="2" w:lineRule="atLeas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商用级，额定公率2000w额定电压220V尺寸适配现有售卖窗口（长1.8米*宽80厘米*高80厘米），带防漏电保护、防干烧，温度可调功能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7602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台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FF5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CA2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drawing>
                <wp:inline distT="0" distB="0" distL="114300" distR="114300">
                  <wp:extent cx="1576705" cy="956945"/>
                  <wp:effectExtent l="0" t="0" r="4445" b="14605"/>
                  <wp:docPr id="2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705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427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shd w:val="clear" w:color="auto" w:fill="auto"/>
            <w:vAlign w:val="center"/>
          </w:tcPr>
          <w:p w14:paraId="453A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82B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粗加工双槽水池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05BF2F09">
            <w:pPr>
              <w:widowControl/>
              <w:spacing w:line="2" w:lineRule="atLeas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商用双槽洗菜池：长160厘米*宽60厘米*高65厘米*槽深28厘米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(±10%）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国标304食品级不锈钢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0A29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台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D16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13F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drawing>
                <wp:inline distT="0" distB="0" distL="114300" distR="114300">
                  <wp:extent cx="1576070" cy="1416050"/>
                  <wp:effectExtent l="0" t="0" r="5080" b="12700"/>
                  <wp:docPr id="2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070" cy="141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D6A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shd w:val="clear" w:color="auto" w:fill="auto"/>
            <w:vAlign w:val="center"/>
          </w:tcPr>
          <w:p w14:paraId="6E60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2CB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蒸煮饭车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3E3E5A22">
            <w:pPr>
              <w:widowControl/>
              <w:spacing w:line="2" w:lineRule="atLeas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商用大容量款，容积≥24盘，额定功率18kW，带防干烧、自动保温功能，适配厨房380V电路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32AD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台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23E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92B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drawing>
                <wp:inline distT="0" distB="0" distL="114300" distR="114300">
                  <wp:extent cx="1575435" cy="2011680"/>
                  <wp:effectExtent l="0" t="0" r="5715" b="7620"/>
                  <wp:docPr id="3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435" cy="201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044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shd w:val="clear" w:color="auto" w:fill="auto"/>
            <w:vAlign w:val="center"/>
          </w:tcPr>
          <w:p w14:paraId="2886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EDE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商用冰箱（6门）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4EF9CB01">
            <w:pPr>
              <w:widowControl/>
              <w:spacing w:line="2" w:lineRule="atLeas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商用大容量款:功率：360w-1260w 容积：1000-1600L</w:t>
            </w:r>
          </w:p>
          <w:p w14:paraId="122844DB">
            <w:pPr>
              <w:widowControl/>
              <w:spacing w:line="2" w:lineRule="atLeas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6门外部尺寸长1800*宽760*高1965mm(±10%）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6FF2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台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0A8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ED2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drawing>
                <wp:inline distT="0" distB="0" distL="114300" distR="114300">
                  <wp:extent cx="904875" cy="1914525"/>
                  <wp:effectExtent l="0" t="0" r="9525" b="9525"/>
                  <wp:docPr id="3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B65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743" w:type="dxa"/>
            <w:shd w:val="clear" w:color="auto" w:fill="auto"/>
            <w:vAlign w:val="center"/>
          </w:tcPr>
          <w:p w14:paraId="0DCA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075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商用冰箱（4门）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03B06EAE">
            <w:pPr>
              <w:widowControl/>
              <w:spacing w:line="2" w:lineRule="atLeas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商用大容量款：功率：360w-1260w 容积：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700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1200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L</w:t>
            </w:r>
          </w:p>
          <w:p w14:paraId="0388ECFC">
            <w:pPr>
              <w:widowControl/>
              <w:spacing w:line="2" w:lineRule="atLeas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4门1200*700*1900mm(±10%）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50F2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台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A92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36C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drawing>
                <wp:inline distT="0" distB="0" distL="114300" distR="114300">
                  <wp:extent cx="904875" cy="1914525"/>
                  <wp:effectExtent l="0" t="0" r="9525" b="9525"/>
                  <wp:docPr id="3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1CB5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shd w:val="clear" w:color="auto" w:fill="auto"/>
            <w:vAlign w:val="center"/>
          </w:tcPr>
          <w:p w14:paraId="31C1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712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双眼灶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366ADE45">
            <w:pPr>
              <w:widowControl/>
              <w:spacing w:line="2" w:lineRule="atLeas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商用双眼炒灶：长2米*宽90厘米*高80厘米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(±10%）</w:t>
            </w:r>
          </w:p>
          <w:p w14:paraId="29668549">
            <w:pPr>
              <w:widowControl/>
              <w:spacing w:line="2" w:lineRule="atLeas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适用于：天燃气，电子打火，拉锅熄火，熄火保护3C国标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（响应文件中提供3C证书）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7173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组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5E9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74B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drawing>
                <wp:inline distT="0" distB="0" distL="114300" distR="114300">
                  <wp:extent cx="1574800" cy="1810385"/>
                  <wp:effectExtent l="0" t="0" r="0" b="18415"/>
                  <wp:docPr id="3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181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2B8F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shd w:val="clear" w:color="auto" w:fill="auto"/>
            <w:vAlign w:val="center"/>
          </w:tcPr>
          <w:p w14:paraId="2CC8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93E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带自动熄火装置的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6眼煲仔炉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1AD487E6">
            <w:pPr>
              <w:widowControl/>
              <w:spacing w:line="2" w:lineRule="atLeas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商用燃气炉具，带自动熄火保护、热电偶熄火保护功能，</w:t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眼煲仔炉单眼热负荷≥4kW，接口G1/2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721E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组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005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3AD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drawing>
                <wp:inline distT="0" distB="0" distL="114300" distR="114300">
                  <wp:extent cx="1576070" cy="1435100"/>
                  <wp:effectExtent l="0" t="0" r="5080" b="12700"/>
                  <wp:docPr id="34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07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99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shd w:val="clear" w:color="auto" w:fill="auto"/>
            <w:vAlign w:val="center"/>
          </w:tcPr>
          <w:p w14:paraId="2A94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5B9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带自动熄火装置的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双眼煮汤矮炉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43F28402">
            <w:pPr>
              <w:widowControl/>
              <w:spacing w:line="2" w:lineRule="atLeas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商用燃气炉具，带自动熄火保护、热电偶熄火保护功能，煮汤矮炉热负荷≥25kW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4B3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组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42B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8CE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drawing>
                <wp:inline distT="0" distB="0" distL="114300" distR="114300">
                  <wp:extent cx="1576070" cy="1374775"/>
                  <wp:effectExtent l="0" t="0" r="5080" b="15875"/>
                  <wp:docPr id="35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070" cy="137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D9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shd w:val="clear" w:color="auto" w:fill="auto"/>
            <w:vAlign w:val="center"/>
          </w:tcPr>
          <w:p w14:paraId="35D7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B82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热水器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7860D463">
            <w:pPr>
              <w:widowControl/>
              <w:spacing w:line="2" w:lineRule="atLeas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green"/>
                <w:lang w:val="en-US" w:eastAsia="zh-CN" w:bidi="ar-SA"/>
              </w:rPr>
            </w:pPr>
          </w:p>
          <w:p w14:paraId="2923373B">
            <w:pPr>
              <w:widowControl/>
              <w:spacing w:line="2" w:lineRule="atLeas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商用热水炉，容量≥200L，发泡款，额定功率21kW，304不锈钢内胆，耐腐蚀、防漏水电压380V</w:t>
            </w:r>
          </w:p>
          <w:p w14:paraId="144C59E5">
            <w:pPr>
              <w:widowControl/>
              <w:spacing w:line="2" w:lineRule="atLeas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05D9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台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15D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A4F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drawing>
                <wp:inline distT="0" distB="0" distL="114300" distR="114300">
                  <wp:extent cx="1577340" cy="2716530"/>
                  <wp:effectExtent l="0" t="0" r="3810" b="7620"/>
                  <wp:docPr id="36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271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16F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shd w:val="clear" w:color="auto" w:fill="auto"/>
            <w:vAlign w:val="center"/>
          </w:tcPr>
          <w:p w14:paraId="0BC3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0E9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大厅桌椅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5BA3EF8A">
            <w:pPr>
              <w:widowControl/>
              <w:spacing w:line="2" w:lineRule="atLeas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一桌4椅为1组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1桌4椅连体，长120厘米*宽58厘米*高65厘米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(±10%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655E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组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F9A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16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1F9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drawing>
                <wp:inline distT="0" distB="0" distL="114300" distR="114300">
                  <wp:extent cx="1576705" cy="1885950"/>
                  <wp:effectExtent l="0" t="0" r="4445" b="0"/>
                  <wp:docPr id="37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705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DFE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449" w:type="dxa"/>
            <w:gridSpan w:val="6"/>
          </w:tcPr>
          <w:p w14:paraId="1C8AE81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说明：</w:t>
            </w:r>
          </w:p>
          <w:p w14:paraId="31E1EE64"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响应人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</w:rPr>
              <w:t>的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</w:rPr>
              <w:t>文件必须标明所投货物的品牌与参数，保证原厂正品供货。</w:t>
            </w:r>
          </w:p>
          <w:p w14:paraId="2F082AF0"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所有技术参数及要求采购人验收时将逐条核对，如发现与实际情况不符、虚假响应等，采购人有权报监管部门并追究违约责任。</w:t>
            </w:r>
          </w:p>
          <w:p w14:paraId="58605B23"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响应人应按照谈判文件要求提供证明材料。若响应人提供了竞争性谈判文件未要求的证明材料，谈判小组将不予评审。响应人提供的证明材料须清晰地反映评审内容，如因材料模糊不清，导致谈判小组无法辨认的，谈判小组可以不予认可，一切后果由响应人自行承担。</w:t>
            </w:r>
          </w:p>
          <w:p w14:paraId="7E011E61"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参考图片供响应人参考，供货前须经采购人确认后再供货。</w:t>
            </w:r>
          </w:p>
          <w:p w14:paraId="615BAE22"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本项目采用总价包干，报价包含为完成本项目所需的所有费用，包括但不限于货物运输、原设备拆除及新设备安装、配件、辅材等一切费用，采购人后期不追加任何费用。</w:t>
            </w:r>
          </w:p>
          <w:p w14:paraId="6B684719"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440" w:lineRule="exact"/>
              <w:jc w:val="left"/>
              <w:textAlignment w:val="auto"/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6.本项目施工期间一切施工安全均由成交人负责，如发生安全事故由成交人承担全部责任。施工期间成交人施工用水用电费用（如有）由成交人自行交纳。</w:t>
            </w:r>
          </w:p>
          <w:p w14:paraId="08C5FEF6">
            <w:pPr>
              <w:rPr>
                <w:rFonts w:hint="default" w:ascii="宋体" w:hAnsi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7.以上技术参数中要求的证书等均在响应文件中提供。</w:t>
            </w:r>
          </w:p>
        </w:tc>
      </w:tr>
    </w:tbl>
    <w:p w14:paraId="12BFB303">
      <w:pPr>
        <w:pStyle w:val="3"/>
        <w:tabs>
          <w:tab w:val="left" w:pos="2730"/>
        </w:tabs>
        <w:ind w:firstLine="413" w:firstLineChars="196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三、人员培训要求</w:t>
      </w:r>
    </w:p>
    <w:p w14:paraId="2CCF6DC3">
      <w:pPr>
        <w:pageBreakBefore w:val="0"/>
        <w:widowControl/>
        <w:kinsoku/>
        <w:overflowPunct/>
        <w:topLinePunct w:val="0"/>
        <w:bidi w:val="0"/>
        <w:snapToGrid/>
        <w:spacing w:line="440" w:lineRule="exact"/>
        <w:jc w:val="left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    货物安装、调试、验收合格后，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成交人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应对采购人的相关人员进行免费现场培训。培训内容包括基本操作、保养维修、常见故障及解决办法等。</w:t>
      </w:r>
    </w:p>
    <w:p w14:paraId="4FC8308D">
      <w:pPr>
        <w:pStyle w:val="3"/>
        <w:pageBreakBefore w:val="0"/>
        <w:tabs>
          <w:tab w:val="left" w:pos="2730"/>
        </w:tabs>
        <w:kinsoku/>
        <w:overflowPunct/>
        <w:topLinePunct w:val="0"/>
        <w:bidi w:val="0"/>
        <w:snapToGrid/>
        <w:spacing w:line="440" w:lineRule="exact"/>
        <w:ind w:firstLine="413" w:firstLineChars="196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四、货物质量及售后服务要求</w:t>
      </w:r>
    </w:p>
    <w:p w14:paraId="5E10F43D">
      <w:pPr>
        <w:pageBreakBefore w:val="0"/>
        <w:widowControl/>
        <w:kinsoku/>
        <w:overflowPunct/>
        <w:topLinePunct w:val="0"/>
        <w:bidi w:val="0"/>
        <w:snapToGrid/>
        <w:spacing w:line="440" w:lineRule="exact"/>
        <w:jc w:val="left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    1、货物质量：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成交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人提供的货物必须是全新、原装、合格正品，完全符合国家规定的质量标准和厂方的标准。货物完好，配件齐全。</w:t>
      </w:r>
    </w:p>
    <w:p w14:paraId="610F5816">
      <w:pPr>
        <w:pageBreakBefore w:val="0"/>
        <w:widowControl/>
        <w:kinsoku/>
        <w:overflowPunct/>
        <w:topLinePunct w:val="0"/>
        <w:bidi w:val="0"/>
        <w:snapToGrid/>
        <w:spacing w:line="440" w:lineRule="exact"/>
        <w:jc w:val="left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    2、保修及售后服务：依据商品的保修条款及售后服务条款，提供原厂质保，质保期按照国家规定，且不低于所供品牌向用户承诺的质保期限，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谈判文件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另有约定的从其约定。质保期从货物验收合格后算起。</w:t>
      </w:r>
    </w:p>
    <w:p w14:paraId="5AE109EB">
      <w:pPr>
        <w:pStyle w:val="3"/>
        <w:pageBreakBefore w:val="0"/>
        <w:tabs>
          <w:tab w:val="left" w:pos="2730"/>
        </w:tabs>
        <w:kinsoku/>
        <w:overflowPunct/>
        <w:topLinePunct w:val="0"/>
        <w:bidi w:val="0"/>
        <w:snapToGrid/>
        <w:spacing w:line="440" w:lineRule="exact"/>
        <w:ind w:firstLine="413" w:firstLineChars="196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五、验收     </w:t>
      </w:r>
    </w:p>
    <w:p w14:paraId="292AAAD9">
      <w:pPr>
        <w:pageBreakBefore w:val="0"/>
        <w:widowControl/>
        <w:kinsoku/>
        <w:overflowPunct/>
        <w:topLinePunct w:val="0"/>
        <w:bidi w:val="0"/>
        <w:snapToGrid/>
        <w:spacing w:line="440" w:lineRule="exact"/>
        <w:ind w:firstLine="405"/>
        <w:jc w:val="left"/>
        <w:textAlignment w:val="auto"/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成交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人和采购人双方共同实施验收工作，结果和验收报告经双方确认后生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效。</w:t>
      </w:r>
    </w:p>
    <w:p w14:paraId="798004F1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56E6E"/>
    <w:rsid w:val="1FE5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wordWrap w:val="0"/>
      <w:autoSpaceDE w:val="0"/>
      <w:autoSpaceDN w:val="0"/>
      <w:adjustRightInd w:val="0"/>
      <w:spacing w:line="440" w:lineRule="exact"/>
      <w:jc w:val="left"/>
      <w:outlineLvl w:val="2"/>
    </w:pPr>
    <w:rPr>
      <w:rFonts w:ascii="宋体"/>
      <w:b/>
      <w:kern w:val="0"/>
      <w:sz w:val="24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2026-01-07T02:15:00Z</dcterms:created>
  <dc:creator>NTKO</dc:creator>
  <cp:lastModifiedBy>NTKO</cp:lastModifiedBy>
  <dcterms:modified xsi:type="dcterms:W3CDTF">2026-01-07T02:15:41Z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FB77847A658541E1A638B9BFAF4C1606_11</vt:lpwstr>
  </property>
  <property fmtid="{D5CDD505-2E9C-101B-9397-08002B2CF9AE}" pid="4" name="KSOTemplateDocerSaveRecord">
    <vt:lpwstr>eyJoZGlkIjoiYTg0MTM2OTgzZWYzMDE3ZjJjZDgyMzM1Y2M5NTYyZGIiLCJ1c2VySWQiOiI4MDc5MDQxNzAifQ==</vt:lpwstr>
  </property>
</Properties>
</file>