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0BACC">
      <w:pPr>
        <w:pStyle w:val="6"/>
        <w:pageBreakBefore w:val="0"/>
        <w:numPr>
          <w:numId w:val="0"/>
        </w:numPr>
        <w:kinsoku/>
        <w:overflowPunct/>
        <w:topLinePunct w:val="0"/>
        <w:bidi w:val="0"/>
        <w:adjustRightInd w:val="0"/>
        <w:snapToGrid w:val="0"/>
        <w:spacing w:line="420" w:lineRule="exact"/>
        <w:ind w:leftChars="0"/>
        <w:jc w:val="center"/>
        <w:outlineLvl w:val="0"/>
        <w:rPr>
          <w:rFonts w:hint="eastAsia" w:ascii="宋体" w:hAnsi="宋体" w:cs="宋体"/>
          <w:b/>
          <w:bCs w:val="0"/>
          <w:color w:val="auto"/>
          <w:sz w:val="32"/>
          <w:szCs w:val="32"/>
          <w:highlight w:val="none"/>
          <w:lang w:val="en-US" w:eastAsia="zh-CN"/>
        </w:rPr>
      </w:pPr>
      <w:bookmarkStart w:id="0" w:name="_Toc22790"/>
      <w:r>
        <w:rPr>
          <w:rFonts w:hint="eastAsia" w:ascii="宋体" w:hAnsi="宋体" w:cs="宋体"/>
          <w:b/>
          <w:bCs w:val="0"/>
          <w:color w:val="auto"/>
          <w:sz w:val="32"/>
          <w:szCs w:val="32"/>
          <w:highlight w:val="none"/>
          <w:lang w:val="en-US" w:eastAsia="zh-CN"/>
        </w:rPr>
        <w:t>采购需求</w:t>
      </w:r>
      <w:bookmarkEnd w:id="0"/>
      <w:bookmarkStart w:id="1" w:name="_GoBack"/>
      <w:bookmarkEnd w:id="1"/>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6"/>
        <w:gridCol w:w="1273"/>
        <w:gridCol w:w="6293"/>
      </w:tblGrid>
      <w:tr w14:paraId="6835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44E99E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kern w:val="2"/>
                <w:sz w:val="21"/>
                <w:szCs w:val="21"/>
                <w:highlight w:val="none"/>
              </w:rPr>
            </w:pPr>
            <w:r>
              <w:rPr>
                <w:rFonts w:hint="eastAsia" w:ascii="宋体" w:hAnsi="宋体" w:eastAsia="宋体" w:cs="宋体"/>
                <w:b/>
                <w:bCs w:val="0"/>
                <w:kern w:val="2"/>
                <w:sz w:val="21"/>
                <w:szCs w:val="21"/>
                <w:highlight w:val="none"/>
                <w:lang w:val="en-US" w:eastAsia="zh-CN" w:bidi="ar"/>
              </w:rPr>
              <w:t>序号</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00EBFD8E">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
                <w:bCs w:val="0"/>
                <w:kern w:val="2"/>
                <w:sz w:val="21"/>
                <w:szCs w:val="21"/>
                <w:highlight w:val="none"/>
              </w:rPr>
            </w:pPr>
            <w:r>
              <w:rPr>
                <w:rFonts w:hint="eastAsia" w:ascii="宋体" w:hAnsi="宋体" w:eastAsia="宋体" w:cs="宋体"/>
                <w:b/>
                <w:bCs w:val="0"/>
                <w:kern w:val="2"/>
                <w:sz w:val="21"/>
                <w:szCs w:val="21"/>
                <w:highlight w:val="none"/>
                <w:lang w:val="en-US" w:eastAsia="zh-CN" w:bidi="ar"/>
              </w:rPr>
              <w:t>内容</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4ACFB762">
            <w:pPr>
              <w:keepNext w:val="0"/>
              <w:keepLines w:val="0"/>
              <w:widowControl w:val="0"/>
              <w:suppressLineNumbers w:val="0"/>
              <w:spacing w:before="0" w:beforeAutospacing="0" w:after="0" w:afterAutospacing="0" w:line="360" w:lineRule="auto"/>
              <w:ind w:left="0" w:right="0" w:firstLine="435"/>
              <w:jc w:val="center"/>
              <w:rPr>
                <w:rFonts w:hint="eastAsia" w:ascii="宋体" w:hAnsi="宋体" w:eastAsia="宋体" w:cs="@仿宋_GB2312"/>
                <w:b/>
                <w:bCs w:val="0"/>
                <w:kern w:val="2"/>
                <w:sz w:val="21"/>
                <w:szCs w:val="21"/>
                <w:highlight w:val="none"/>
              </w:rPr>
            </w:pPr>
            <w:r>
              <w:rPr>
                <w:rFonts w:hint="eastAsia" w:ascii="宋体" w:hAnsi="宋体" w:eastAsia="宋体" w:cs="宋体"/>
                <w:b/>
                <w:bCs w:val="0"/>
                <w:kern w:val="2"/>
                <w:sz w:val="21"/>
                <w:szCs w:val="21"/>
                <w:highlight w:val="none"/>
                <w:lang w:val="en-US" w:eastAsia="zh-CN" w:bidi="ar"/>
              </w:rPr>
              <w:t>说明和要求</w:t>
            </w:r>
          </w:p>
        </w:tc>
      </w:tr>
      <w:tr w14:paraId="73A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099A35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56C043C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人员到岗及履约要求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73C17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1"/>
                <w:szCs w:val="21"/>
                <w:highlight w:val="none"/>
              </w:rPr>
            </w:pPr>
            <w:r>
              <w:rPr>
                <w:rFonts w:hint="eastAsia" w:ascii="宋体" w:hAnsi="宋体" w:eastAsia="宋体" w:cs="宋体"/>
                <w:kern w:val="2"/>
                <w:sz w:val="21"/>
                <w:szCs w:val="21"/>
                <w:highlight w:val="none"/>
                <w:lang w:val="en-US" w:eastAsia="zh-CN" w:bidi="ar"/>
              </w:rPr>
              <w:t>（1）供应商一旦成交，磋商时所报的</w:t>
            </w:r>
            <w:r>
              <w:rPr>
                <w:rFonts w:hint="eastAsia" w:ascii="宋体" w:hAnsi="宋体" w:eastAsia="宋体" w:cs="宋体"/>
                <w:color w:val="auto"/>
                <w:kern w:val="2"/>
                <w:sz w:val="21"/>
                <w:szCs w:val="21"/>
                <w:highlight w:val="none"/>
                <w:lang w:val="en-US" w:eastAsia="zh-CN" w:bidi="ar"/>
              </w:rPr>
              <w:t>本项目的项目经理、 施工现场技术负责人、各专业负责工程师及施工机械等在整个项目施工期内必须</w:t>
            </w:r>
            <w:r>
              <w:rPr>
                <w:rFonts w:hint="eastAsia" w:ascii="宋体" w:hAnsi="宋体" w:cs="宋体"/>
                <w:color w:val="auto"/>
                <w:kern w:val="2"/>
                <w:sz w:val="21"/>
                <w:szCs w:val="21"/>
                <w:highlight w:val="none"/>
                <w:lang w:val="en-US" w:eastAsia="zh-CN" w:bidi="ar"/>
              </w:rPr>
              <w:t>到岗履职</w:t>
            </w:r>
            <w:r>
              <w:rPr>
                <w:rFonts w:hint="eastAsia" w:ascii="宋体" w:hAnsi="宋体" w:eastAsia="宋体" w:cs="宋体"/>
                <w:color w:val="auto"/>
                <w:kern w:val="2"/>
                <w:sz w:val="21"/>
                <w:szCs w:val="21"/>
                <w:highlight w:val="none"/>
                <w:lang w:val="en-US" w:eastAsia="zh-CN" w:bidi="ar"/>
              </w:rPr>
              <w:t>，否则采购人有权终止合同。 由此造成的损失，</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自行承担并赔偿可能给采购人造成的损失。</w:t>
            </w:r>
          </w:p>
          <w:p w14:paraId="618170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cs="宋体"/>
                <w:color w:val="auto"/>
                <w:kern w:val="2"/>
                <w:sz w:val="21"/>
                <w:szCs w:val="21"/>
                <w:highlight w:val="none"/>
                <w:lang w:val="en-US" w:eastAsia="zh-CN" w:bidi="ar"/>
              </w:rPr>
              <w:t>成交人</w:t>
            </w:r>
            <w:r>
              <w:rPr>
                <w:rFonts w:hint="eastAsia" w:ascii="宋体" w:hAnsi="宋体" w:eastAsia="宋体" w:cs="宋体"/>
                <w:color w:val="auto"/>
                <w:kern w:val="2"/>
                <w:sz w:val="21"/>
                <w:szCs w:val="21"/>
                <w:highlight w:val="none"/>
                <w:lang w:val="en-US" w:eastAsia="zh-CN" w:bidi="ar"/>
              </w:rPr>
              <w:t>不得擅自更换磋商时所报项目经理及项目部主要管理人员。确需更换时，须报采购人同意，更换后人员不得低于</w:t>
            </w:r>
            <w:r>
              <w:rPr>
                <w:rFonts w:hint="eastAsia" w:ascii="宋体" w:hAnsi="宋体" w:cs="宋体"/>
                <w:color w:val="auto"/>
                <w:kern w:val="2"/>
                <w:sz w:val="21"/>
                <w:szCs w:val="21"/>
                <w:highlight w:val="none"/>
                <w:lang w:val="en-US" w:eastAsia="zh-CN" w:bidi="ar"/>
              </w:rPr>
              <w:t>成</w:t>
            </w:r>
            <w:r>
              <w:rPr>
                <w:rFonts w:hint="eastAsia" w:ascii="宋体" w:hAnsi="宋体" w:cs="宋体"/>
                <w:kern w:val="2"/>
                <w:sz w:val="21"/>
                <w:szCs w:val="21"/>
                <w:highlight w:val="none"/>
                <w:lang w:val="en-US" w:eastAsia="zh-CN" w:bidi="ar"/>
              </w:rPr>
              <w:t>交人</w:t>
            </w:r>
            <w:r>
              <w:rPr>
                <w:rFonts w:hint="eastAsia" w:ascii="宋体" w:hAnsi="宋体" w:eastAsia="宋体" w:cs="宋体"/>
                <w:kern w:val="2"/>
                <w:sz w:val="21"/>
                <w:szCs w:val="21"/>
                <w:highlight w:val="none"/>
                <w:lang w:val="en-US" w:eastAsia="zh-CN" w:bidi="ar"/>
              </w:rPr>
              <w:t>磋商响应函时所报人员资质和技术水平。采购人如认为有必要，可要求对上述人员中的部分人员作出更好的调整。</w:t>
            </w:r>
          </w:p>
          <w:p w14:paraId="4D85CF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（3）</w:t>
            </w:r>
            <w:r>
              <w:rPr>
                <w:rFonts w:hint="eastAsia" w:ascii="宋体" w:hAnsi="宋体" w:cs="宋体"/>
                <w:kern w:val="2"/>
                <w:sz w:val="21"/>
                <w:szCs w:val="21"/>
                <w:highlight w:val="none"/>
                <w:lang w:val="en-US" w:eastAsia="zh-CN" w:bidi="ar"/>
              </w:rPr>
              <w:t>成交人</w:t>
            </w:r>
            <w:r>
              <w:rPr>
                <w:rFonts w:hint="eastAsia" w:ascii="宋体" w:hAnsi="宋体" w:eastAsia="宋体" w:cs="宋体"/>
                <w:kern w:val="2"/>
                <w:sz w:val="21"/>
                <w:szCs w:val="21"/>
                <w:highlight w:val="none"/>
                <w:lang w:val="en-US" w:eastAsia="zh-CN" w:bidi="ar"/>
              </w:rPr>
              <w:t>未能按照承诺到岗尽职的，采购人将视情况严重程度对其作出相应处理，给予警告并发出整改通知。 如仍未及时整改，采购人有权责令其停工整改、直至终止合同，引进新的承包人。采购人还将停止支付工程款项，扣留任何未付的工程进度款项补偿建设单位的有关损失或工期延误的损失，并就此向</w:t>
            </w:r>
            <w:r>
              <w:rPr>
                <w:rFonts w:hint="eastAsia" w:ascii="宋体" w:hAnsi="宋体" w:cs="宋体"/>
                <w:kern w:val="2"/>
                <w:sz w:val="21"/>
                <w:szCs w:val="21"/>
                <w:highlight w:val="none"/>
                <w:lang w:val="en-US" w:eastAsia="zh-CN" w:bidi="ar"/>
              </w:rPr>
              <w:t>成交人</w:t>
            </w:r>
            <w:r>
              <w:rPr>
                <w:rFonts w:hint="eastAsia" w:ascii="宋体" w:hAnsi="宋体" w:eastAsia="宋体" w:cs="宋体"/>
                <w:kern w:val="2"/>
                <w:sz w:val="21"/>
                <w:szCs w:val="21"/>
                <w:highlight w:val="none"/>
                <w:lang w:val="en-US" w:eastAsia="zh-CN" w:bidi="ar"/>
              </w:rPr>
              <w:t>索赔。</w:t>
            </w:r>
          </w:p>
        </w:tc>
      </w:tr>
      <w:tr w14:paraId="120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4DFBDB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18C25F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材料要求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7E4F12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①</w:t>
            </w:r>
            <w:r>
              <w:rPr>
                <w:rFonts w:hint="eastAsia" w:ascii="宋体" w:hAnsi="宋体" w:eastAsia="宋体" w:cs="宋体"/>
                <w:color w:val="000000"/>
                <w:sz w:val="21"/>
                <w:szCs w:val="21"/>
                <w:highlight w:val="none"/>
              </w:rPr>
              <w:t>除发包人提供的材料、设备外，凡属承包范围内的所有材料、设备均由</w:t>
            </w:r>
            <w:r>
              <w:rPr>
                <w:rFonts w:hint="eastAsia" w:ascii="宋体" w:hAnsi="宋体" w:eastAsia="宋体" w:cs="宋体"/>
                <w:color w:val="000000"/>
                <w:sz w:val="21"/>
                <w:szCs w:val="21"/>
                <w:highlight w:val="none"/>
                <w:lang w:val="en-US" w:eastAsia="zh-CN"/>
              </w:rPr>
              <w:t>承包人</w:t>
            </w:r>
            <w:r>
              <w:rPr>
                <w:rFonts w:hint="eastAsia" w:ascii="宋体" w:hAnsi="宋体" w:eastAsia="宋体" w:cs="宋体"/>
                <w:color w:val="000000"/>
                <w:sz w:val="21"/>
                <w:szCs w:val="21"/>
                <w:highlight w:val="none"/>
              </w:rPr>
              <w:t>自行采购</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承包人</w:t>
            </w:r>
            <w:r>
              <w:rPr>
                <w:rFonts w:hint="eastAsia" w:ascii="宋体" w:hAnsi="宋体" w:eastAsia="宋体" w:cs="宋体"/>
                <w:color w:val="auto"/>
                <w:sz w:val="21"/>
                <w:szCs w:val="21"/>
                <w:highlight w:val="none"/>
              </w:rPr>
              <w:t>必须选用</w:t>
            </w:r>
            <w:r>
              <w:rPr>
                <w:rFonts w:hint="eastAsia" w:ascii="宋体" w:hAnsi="宋体" w:eastAsia="宋体" w:cs="宋体"/>
                <w:color w:val="auto"/>
                <w:sz w:val="21"/>
                <w:szCs w:val="21"/>
                <w:highlight w:val="none"/>
                <w:lang w:eastAsia="zh-CN"/>
              </w:rPr>
              <w:t>合格产品</w:t>
            </w:r>
            <w:r>
              <w:rPr>
                <w:rFonts w:hint="eastAsia" w:ascii="宋体" w:hAnsi="宋体" w:eastAsia="宋体" w:cs="宋体"/>
                <w:color w:val="auto"/>
                <w:sz w:val="21"/>
                <w:szCs w:val="21"/>
                <w:highlight w:val="none"/>
              </w:rPr>
              <w:t>并经发包人同意。</w:t>
            </w:r>
            <w:r>
              <w:rPr>
                <w:rFonts w:hint="eastAsia" w:ascii="宋体" w:hAnsi="宋体" w:eastAsia="宋体" w:cs="宋体"/>
                <w:color w:val="auto"/>
                <w:sz w:val="21"/>
                <w:szCs w:val="21"/>
                <w:highlight w:val="none"/>
                <w:lang w:val="en-US" w:eastAsia="zh-CN"/>
              </w:rPr>
              <w:t>承包人负责配合甲供材进场检验试验、送检</w:t>
            </w:r>
            <w:r>
              <w:rPr>
                <w:rFonts w:hint="eastAsia" w:ascii="宋体" w:hAnsi="宋体" w:cs="宋体"/>
                <w:color w:val="auto"/>
                <w:sz w:val="21"/>
                <w:szCs w:val="21"/>
                <w:highlight w:val="none"/>
                <w:lang w:val="en-US" w:eastAsia="zh-CN"/>
              </w:rPr>
              <w:t>、复检</w:t>
            </w:r>
            <w:r>
              <w:rPr>
                <w:rFonts w:hint="eastAsia" w:ascii="宋体" w:hAnsi="宋体" w:eastAsia="宋体" w:cs="宋体"/>
                <w:color w:val="auto"/>
                <w:sz w:val="21"/>
                <w:szCs w:val="21"/>
                <w:highlight w:val="none"/>
                <w:lang w:val="en-US" w:eastAsia="zh-CN"/>
              </w:rPr>
              <w:t>等工作，参与甲供材验收，负责甲供材材料移交后的保管，验收合格接收后即视为认可</w:t>
            </w:r>
            <w:r>
              <w:rPr>
                <w:rFonts w:hint="eastAsia" w:ascii="宋体" w:hAnsi="宋体" w:eastAsia="宋体" w:cs="宋体"/>
                <w:color w:val="000000"/>
                <w:sz w:val="21"/>
                <w:szCs w:val="21"/>
                <w:highlight w:val="none"/>
                <w:lang w:val="en-US" w:eastAsia="zh-CN"/>
              </w:rPr>
              <w:t>甲供材质量合格、数量准确，后期不得就甲供材质量、数量等问题提出任何异议。负责甲供材的卸货、二次或多次搬运等并自行承担费用。</w:t>
            </w:r>
          </w:p>
          <w:p w14:paraId="590905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②</w:t>
            </w:r>
            <w:r>
              <w:rPr>
                <w:rFonts w:hint="eastAsia" w:ascii="宋体" w:hAnsi="宋体" w:eastAsia="宋体" w:cs="宋体"/>
                <w:color w:val="auto"/>
                <w:sz w:val="21"/>
                <w:szCs w:val="21"/>
                <w:highlight w:val="none"/>
                <w:lang w:val="en-US" w:eastAsia="zh-CN"/>
              </w:rPr>
              <w:t>对发包人未指定品牌的材料、设备采购，承包人必须选用符合现行国家及行业相关合格标准的要求并经发包人同意。</w:t>
            </w:r>
          </w:p>
          <w:p w14:paraId="02212F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③</w:t>
            </w:r>
            <w:r>
              <w:rPr>
                <w:rFonts w:hint="eastAsia" w:ascii="宋体" w:hAnsi="宋体" w:eastAsia="宋体" w:cs="宋体"/>
                <w:color w:val="000000"/>
                <w:sz w:val="21"/>
                <w:szCs w:val="21"/>
                <w:highlight w:val="none"/>
              </w:rPr>
              <w:t>承包人对本工程的主要材料、设备及供应的厂商，须进行资格和品牌的认定，在采购前应将供应商的有关资料（如质保书、生产许可证等或备案要求）报监理单位审查，并经发包人批准后方可采购。否则，发包人有权不予验收进场，由此造成的损失由承包人自负，工期不予顺延。</w:t>
            </w:r>
            <w:r>
              <w:rPr>
                <w:rFonts w:hint="eastAsia" w:ascii="宋体" w:hAnsi="宋体" w:eastAsia="宋体" w:cs="宋体"/>
                <w:color w:val="auto"/>
                <w:sz w:val="21"/>
                <w:szCs w:val="21"/>
                <w:highlight w:val="none"/>
                <w:lang w:val="en-US" w:eastAsia="zh-CN"/>
              </w:rPr>
              <w:t>材料试验费由承包人支付。</w:t>
            </w:r>
          </w:p>
          <w:p w14:paraId="1DAC75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④</w:t>
            </w:r>
            <w:r>
              <w:rPr>
                <w:rFonts w:hint="eastAsia" w:ascii="宋体" w:hAnsi="宋体" w:eastAsia="宋体" w:cs="宋体"/>
                <w:color w:val="000000"/>
                <w:sz w:val="21"/>
                <w:szCs w:val="21"/>
                <w:highlight w:val="none"/>
              </w:rPr>
              <w:t>由承包人实施采购的工程主要设备和材料由承包人实施，品牌、规格等须经发包人认可签字后方可进行采购，承包人采购计划应提前报发包人审定。因承包人资源投入不足，直接影响工程质量和工期，且无视监理工程师的警告而不做改进，从而引起工程的质量、进度和材料设备准备严重滞后时，发包人有权采取相关措施进行补救，相关措施的费用由承包人承担。</w:t>
            </w:r>
          </w:p>
          <w:p w14:paraId="427421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000000"/>
                <w:kern w:val="2"/>
                <w:sz w:val="21"/>
                <w:szCs w:val="21"/>
                <w:highlight w:val="none"/>
                <w:lang w:val="en-US" w:eastAsia="zh-CN" w:bidi="ar-SA"/>
              </w:rPr>
              <w:t>⑤</w:t>
            </w:r>
            <w:r>
              <w:rPr>
                <w:rFonts w:hint="eastAsia" w:ascii="宋体" w:hAnsi="宋体" w:eastAsia="宋体" w:cs="宋体"/>
                <w:color w:val="000000"/>
                <w:sz w:val="21"/>
                <w:szCs w:val="21"/>
                <w:highlight w:val="none"/>
              </w:rPr>
              <w:t>若承包人不能提供符合设计要求或合同约定的材料，发包人有权要求承包人停止采购，已经采购进场的勒令其退场，由此所造成的一切损失或发生的</w:t>
            </w:r>
            <w:r>
              <w:rPr>
                <w:rFonts w:hint="eastAsia" w:ascii="宋体" w:hAnsi="宋体" w:eastAsia="宋体" w:cs="宋体"/>
                <w:color w:val="auto"/>
                <w:sz w:val="21"/>
                <w:szCs w:val="21"/>
                <w:highlight w:val="none"/>
              </w:rPr>
              <w:t>费用由承包人承担。</w:t>
            </w:r>
          </w:p>
          <w:p w14:paraId="7F64C1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提供的参考品牌、厂家或标准（详见附件）是采购人为了方便</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更明确、更清楚说明拟采购货物的技术规格和标准，并无限制性。成交</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可选用推荐品牌，若选用替代品牌或标准的，应参照或相当于参考品牌或标准。成交</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所选用主要材料、设备须经采购人同意后方可使用。</w:t>
            </w:r>
          </w:p>
          <w:p w14:paraId="71894B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szCs w:val="21"/>
                <w:highlight w:val="none"/>
              </w:rPr>
            </w:pPr>
            <w:r>
              <w:rPr>
                <w:rFonts w:hint="eastAsia" w:ascii="宋体" w:hAnsi="宋体" w:eastAsia="宋体" w:cs="宋体"/>
                <w:color w:val="auto"/>
                <w:sz w:val="21"/>
                <w:szCs w:val="21"/>
                <w:highlight w:val="none"/>
                <w:lang w:val="en-US" w:eastAsia="zh-CN"/>
              </w:rPr>
              <w:t>⑦ 根据《安庆市人民政府办公室关于在建设工程中加强预拌砂浆应用工作的通知》（宜政办秘【2016】65号）要求，本项目应使用预拌砂浆</w:t>
            </w:r>
            <w:r>
              <w:rPr>
                <w:rFonts w:hint="eastAsia" w:ascii="宋体" w:hAnsi="宋体" w:cs="宋体"/>
                <w:color w:val="auto"/>
                <w:sz w:val="21"/>
                <w:szCs w:val="21"/>
                <w:highlight w:val="none"/>
                <w:lang w:val="en-US" w:eastAsia="zh-CN"/>
              </w:rPr>
              <w:t>。</w:t>
            </w:r>
          </w:p>
        </w:tc>
      </w:tr>
      <w:tr w14:paraId="02B9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7F4CF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6531A64D">
            <w:pPr>
              <w:keepNext w:val="0"/>
              <w:keepLines w:val="0"/>
              <w:widowControl w:val="0"/>
              <w:suppressLineNumbers w:val="0"/>
              <w:spacing w:before="0" w:beforeAutospacing="0" w:after="0" w:afterAutospacing="0" w:line="360" w:lineRule="auto"/>
              <w:ind w:left="0" w:right="0"/>
              <w:jc w:val="both"/>
              <w:rPr>
                <w:rFonts w:hint="default" w:ascii="宋体" w:hAnsi="宋体" w:eastAsia="宋体" w:cs="@仿宋_GB2312"/>
                <w:kern w:val="2"/>
                <w:sz w:val="21"/>
                <w:szCs w:val="21"/>
                <w:highlight w:val="none"/>
                <w:lang w:val="en-US"/>
              </w:rPr>
            </w:pPr>
            <w:r>
              <w:rPr>
                <w:rFonts w:hint="eastAsia" w:ascii="宋体" w:hAnsi="宋体" w:cs="宋体"/>
                <w:kern w:val="2"/>
                <w:sz w:val="21"/>
                <w:szCs w:val="21"/>
                <w:highlight w:val="none"/>
                <w:lang w:val="en-US" w:eastAsia="zh-CN" w:bidi="ar"/>
              </w:rPr>
              <w:t>其他要求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5852F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2"/>
                <w:sz w:val="21"/>
                <w:szCs w:val="21"/>
                <w:highlight w:val="none"/>
                <w:lang w:val="en-US" w:eastAsia="zh-CN" w:bidi="ar-SA"/>
              </w:rPr>
              <w:t>（</w:t>
            </w:r>
            <w:r>
              <w:rPr>
                <w:rFonts w:hint="eastAsia" w:ascii="宋体" w:hAnsi="宋体" w:eastAsia="宋体" w:cs="宋体"/>
                <w:color w:val="000000"/>
                <w:sz w:val="21"/>
                <w:szCs w:val="21"/>
                <w:highlight w:val="none"/>
                <w:lang w:val="en-US" w:eastAsia="zh-CN"/>
              </w:rPr>
              <w:t>1）施工资料汇编要求：完成本项目施工资料的汇编并配合总包方进行资料整理，并达到城建档案馆的接收标准，供应商在报价中须考虑此费用，成交后采购人不再另行支付。</w:t>
            </w:r>
          </w:p>
          <w:p w14:paraId="5D51E8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（2）承包人负责编制钢结构专业分包涉及的施工方案、深化设计、技术交底、安全交底，涉及需要专家论证方案，由承包人负责编制其方案并负责评审协调等相关工作及费用。</w:t>
            </w:r>
          </w:p>
          <w:p w14:paraId="2066D5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按合同价比例分摊施工过程中水电费、保洁费、项目部打印耗材、食堂支出及其他公用支出，请各供应商在报价时考虑此项费用，合理、谨慎报价。厂房内临时施工道路、临时施工电线电缆、二级配电箱、开关箱等由承包人自行负责，此费用包含在磋商报价中。工人住宿由承包人自行考虑。</w:t>
            </w:r>
          </w:p>
          <w:p w14:paraId="5EE2E7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（4）施工产生的废弃物、建筑垃圾、生活垃圾等均由承包人自行外运出场，此费用包含在磋商报价中。</w:t>
            </w:r>
          </w:p>
          <w:p w14:paraId="0F81D2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临时道路污染清理、厕所（根据发包人要求设置）、施工用电设备、施工用水、临边防护设施的费用已含在本次报价中。承包人使用土建劳务单位以上临时设施的，由承包人自行解决或与土建劳务单位协商解决相关费用。因承包人原因造成临时道路损坏需要维修的，由承包人负责维修或由土建劳务单位进行维修，承包人支付其费用。</w:t>
            </w:r>
          </w:p>
          <w:p w14:paraId="72AC36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（6）临时道路由</w:t>
            </w:r>
            <w:r>
              <w:rPr>
                <w:rFonts w:hint="eastAsia" w:ascii="宋体" w:hAnsi="宋体" w:cs="宋体"/>
                <w:color w:val="000000"/>
                <w:sz w:val="21"/>
                <w:szCs w:val="21"/>
                <w:highlight w:val="none"/>
                <w:lang w:val="en-US" w:eastAsia="zh-CN"/>
              </w:rPr>
              <w:t>承包人</w:t>
            </w:r>
            <w:r>
              <w:rPr>
                <w:rFonts w:hint="eastAsia" w:ascii="宋体" w:hAnsi="宋体" w:eastAsia="宋体" w:cs="宋体"/>
                <w:color w:val="000000"/>
                <w:sz w:val="21"/>
                <w:szCs w:val="21"/>
                <w:highlight w:val="none"/>
                <w:lang w:val="en-US" w:eastAsia="zh-CN"/>
              </w:rPr>
              <w:t>自行修建，费用自行考虑。</w:t>
            </w:r>
          </w:p>
          <w:p w14:paraId="63D69F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承包人负责钢结构质量展示样板采购及现场布置，钢结构施工区域的安全文明施工的警示牌、标牌、旗帜、标语制作更新，以及整个建设周期项目各种观摩会、活动日、安全月、质量月、主管部门检查等工作，此费用包含在磋商报价中。</w:t>
            </w:r>
          </w:p>
          <w:p w14:paraId="57F39B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（8）提供钢结构专业分包日常检测工具报至项目部，如：漆膜测厚仪、游标卡尺等；材料需要送检的，提供车辆和人员配合项目人员进行材料送检。</w:t>
            </w:r>
          </w:p>
          <w:p w14:paraId="3C0B96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（9）承包人必须购买团体意外险，购买凭证提供项目部备查。</w:t>
            </w:r>
          </w:p>
          <w:p w14:paraId="6AC588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（10）本项目主要管理人员和技术人员（包括项目</w:t>
            </w:r>
            <w:r>
              <w:rPr>
                <w:rFonts w:hint="eastAsia" w:ascii="宋体" w:hAnsi="宋体" w:cs="宋体"/>
                <w:color w:val="000000"/>
                <w:sz w:val="21"/>
                <w:szCs w:val="21"/>
                <w:highlight w:val="none"/>
                <w:lang w:val="en-US" w:eastAsia="zh-CN"/>
              </w:rPr>
              <w:t>经理</w:t>
            </w:r>
            <w:r>
              <w:rPr>
                <w:rFonts w:hint="eastAsia" w:ascii="宋体" w:hAnsi="宋体" w:eastAsia="宋体" w:cs="宋体"/>
                <w:color w:val="000000"/>
                <w:sz w:val="21"/>
                <w:szCs w:val="21"/>
                <w:highlight w:val="none"/>
                <w:lang w:val="en-US" w:eastAsia="zh-CN"/>
              </w:rPr>
              <w:t>、技术负责人、安全员、施工员、质量员等其他人员）须配合采购人社保转入及项目打卡、驻场要求，且费用由成交供应商自理，采购人不再另行支付。</w:t>
            </w:r>
          </w:p>
          <w:p w14:paraId="6362FC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施工现场屋面高空作业应满铺安全网防护，安全网材质符合国家标准规范要求（现场必须防坠落试验）。现场钢结构施工需要做好安全措施，生命线、屋面满铺安全兜网、五点式安全带、揽风绳、接火斗等按要求设置。</w:t>
            </w:r>
          </w:p>
          <w:p w14:paraId="061F18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rightChars="0"/>
              <w:textAlignment w:val="auto"/>
              <w:rPr>
                <w:rFonts w:hint="eastAsia" w:ascii="宋体" w:hAnsi="宋体" w:eastAsia="宋体" w:cs="@仿宋_GB2312"/>
                <w:kern w:val="2"/>
                <w:sz w:val="21"/>
                <w:szCs w:val="21"/>
                <w:highlight w:val="none"/>
              </w:rPr>
            </w:pPr>
            <w:r>
              <w:rPr>
                <w:rFonts w:hint="eastAsia" w:ascii="宋体" w:hAnsi="宋体" w:eastAsia="宋体" w:cs="宋体"/>
                <w:color w:val="000000"/>
                <w:sz w:val="21"/>
                <w:szCs w:val="21"/>
                <w:highlight w:val="none"/>
                <w:lang w:val="en-US" w:eastAsia="zh-CN"/>
              </w:rPr>
              <w:t>（12）本磋商文件未尽标准，应符合国家和地方建设主管部门发布的现行有效的规范、标准、规定及通知等相关要求。</w:t>
            </w:r>
          </w:p>
        </w:tc>
      </w:tr>
      <w:tr w14:paraId="240F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203CC1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4</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4F465EF2">
            <w:pPr>
              <w:keepNext w:val="0"/>
              <w:keepLines w:val="0"/>
              <w:suppressLineNumbers w:val="0"/>
              <w:spacing w:before="0" w:beforeAutospacing="0" w:after="0" w:afterAutospacing="0" w:line="360" w:lineRule="auto"/>
              <w:ind w:left="0" w:right="0"/>
              <w:outlineLvl w:val="9"/>
              <w:rPr>
                <w:rFonts w:hint="eastAsia" w:ascii="宋体" w:hAnsi="宋体" w:eastAsia="宋体" w:cs="@仿宋_GB2312"/>
                <w:kern w:val="2"/>
                <w:sz w:val="21"/>
                <w:szCs w:val="21"/>
                <w:highlight w:val="none"/>
              </w:rPr>
            </w:pPr>
            <w:r>
              <w:rPr>
                <w:rFonts w:hint="eastAsia" w:cs="@仿宋_GB2312" w:asciiTheme="minorEastAsia" w:hAnsiTheme="minorEastAsia" w:eastAsiaTheme="minorEastAsia"/>
                <w:color w:val="auto"/>
                <w:kern w:val="2"/>
                <w:sz w:val="21"/>
                <w:szCs w:val="21"/>
                <w:highlight w:val="none"/>
              </w:rPr>
              <w:t>报价须知</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1F36073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（1）供应商最后报价均不得高于磋商文件（公告）列明的最高投标限价</w:t>
            </w:r>
            <w:r>
              <w:rPr>
                <w:rFonts w:hint="eastAsia" w:cs="宋体"/>
                <w:color w:val="auto"/>
                <w:kern w:val="2"/>
                <w:sz w:val="21"/>
                <w:szCs w:val="21"/>
                <w:highlight w:val="none"/>
                <w:lang w:val="en-US" w:eastAsia="zh-CN"/>
              </w:rPr>
              <w:t>（费率）</w:t>
            </w:r>
            <w:r>
              <w:rPr>
                <w:rFonts w:hint="eastAsia" w:ascii="宋体" w:hAnsi="宋体" w:eastAsia="宋体" w:cs="宋体"/>
                <w:color w:val="auto"/>
                <w:kern w:val="2"/>
                <w:sz w:val="21"/>
                <w:szCs w:val="21"/>
                <w:highlight w:val="none"/>
                <w:lang w:val="en-US" w:eastAsia="zh-CN"/>
              </w:rPr>
              <w:t xml:space="preserve">，否则其响应文件将被认定为响应无效。 </w:t>
            </w:r>
          </w:p>
          <w:p w14:paraId="1EDF32A1">
            <w:pPr>
              <w:keepNext w:val="0"/>
              <w:keepLines w:val="0"/>
              <w:suppressLineNumbers w:val="0"/>
              <w:spacing w:before="0" w:beforeAutospacing="0" w:after="0" w:afterAutospacing="0" w:line="360" w:lineRule="auto"/>
              <w:ind w:left="0" w:right="0"/>
              <w:outlineLvl w:val="9"/>
              <w:rPr>
                <w:rFonts w:hint="default" w:cs="@仿宋_GB2312" w:asciiTheme="minorEastAsia" w:hAnsiTheme="minorEastAsia" w:eastAsiaTheme="minorEastAsia"/>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cs="宋体"/>
                <w:color w:val="auto"/>
                <w:kern w:val="2"/>
                <w:sz w:val="21"/>
                <w:szCs w:val="21"/>
                <w:highlight w:val="none"/>
                <w:lang w:val="en-US" w:eastAsia="zh-CN"/>
              </w:rPr>
              <w:t>供应商</w:t>
            </w: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的报价应是采购范围内的、施工图纸中确定的工程施工内容以达到验收标准的全部总费用，其中包括但不限于施工工序应该发生的、规范标准要求实施的及其提前竣工、夜间施工、施工机械、大型机械与设备进退场费、施工措施费（冬雨季施工、不连续施工、二次搬运（含甲供材料设备）、夜间照明、已完工程及设备保护、地上与地下设施保护）、赶工费、管理费、施工现场不利条件（窝工、停工等）、材料采购、材料保管（含甲供材料设备）、竣工图编制费、市场价格波动或政府税收等因素造成的价格变动的风险、为符合或满足合同中为供应商设定的全部责任和义务等所需发生的所有费用、税金（及相关税款）、保险费用、施工用水用电费、临建设施等相关费用、试验检验费等及风险等不可预计的工程全部费用；为达到项目质量、工期目标、安全文明、环境保护等要求的措施项目费、不可竞争费、其他项目费等所有费用也均包含在报价中。乙方在投标报价时亦已考虑了施工期间可能出现的政策、施工环境和市场的变化等可能影响工程造价的因素。</w:t>
            </w:r>
          </w:p>
          <w:p w14:paraId="0DE9B3C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（3）本项目计税采用增值税一般计税方法。  </w:t>
            </w:r>
          </w:p>
          <w:p w14:paraId="4F1F187C">
            <w:pPr>
              <w:keepNext w:val="0"/>
              <w:keepLines w:val="0"/>
              <w:suppressLineNumbers w:val="0"/>
              <w:spacing w:before="0" w:beforeAutospacing="0" w:after="0" w:afterAutospacing="0" w:line="360" w:lineRule="auto"/>
              <w:ind w:left="0" w:right="0"/>
              <w:outlineLvl w:val="9"/>
              <w:rPr>
                <w:rFonts w:hint="eastAsia" w:ascii="宋体" w:hAnsi="宋体" w:eastAsia="宋体" w:cs="Times New Roman"/>
                <w:kern w:val="2"/>
                <w:sz w:val="21"/>
                <w:szCs w:val="21"/>
                <w:highlight w:val="none"/>
              </w:rPr>
            </w:pPr>
            <w:r>
              <w:rPr>
                <w:rFonts w:hint="eastAsia" w:ascii="宋体" w:hAnsi="宋体" w:eastAsia="宋体" w:cs="宋体"/>
                <w:color w:val="auto"/>
                <w:kern w:val="2"/>
                <w:sz w:val="21"/>
                <w:szCs w:val="21"/>
                <w:highlight w:val="none"/>
                <w:lang w:val="en-US" w:eastAsia="zh-CN"/>
              </w:rPr>
              <w:t>（</w:t>
            </w:r>
            <w:r>
              <w:rPr>
                <w:rFonts w:hint="eastAsia"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）提醒：报价须考虑采购需求的特性要求，谨慎报价。</w:t>
            </w:r>
          </w:p>
        </w:tc>
      </w:tr>
      <w:tr w14:paraId="2B1F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53C128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kern w:val="2"/>
                <w:sz w:val="21"/>
                <w:szCs w:val="21"/>
                <w:highlight w:val="none"/>
              </w:rPr>
            </w:pPr>
            <w:r>
              <w:rPr>
                <w:rFonts w:hint="eastAsia" w:ascii="宋体" w:hAnsi="宋体" w:cs="@仿宋_GB2312"/>
                <w:kern w:val="2"/>
                <w:sz w:val="21"/>
                <w:szCs w:val="21"/>
                <w:highlight w:val="none"/>
                <w:lang w:val="en-US" w:eastAsia="zh-CN" w:bidi="ar"/>
              </w:rPr>
              <w:t>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28F1F67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kern w:val="2"/>
                <w:sz w:val="21"/>
                <w:szCs w:val="21"/>
                <w:highlight w:val="none"/>
              </w:rPr>
            </w:pPr>
            <w:r>
              <w:rPr>
                <w:rFonts w:hint="eastAsia" w:ascii="宋体" w:hAnsi="宋体" w:eastAsia="宋体" w:cs="宋体"/>
                <w:kern w:val="2"/>
                <w:sz w:val="21"/>
                <w:szCs w:val="21"/>
                <w:highlight w:val="none"/>
                <w:lang w:val="en-US" w:eastAsia="zh-CN" w:bidi="ar"/>
              </w:rPr>
              <w:t>项目经理</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61C85E33">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拟派本工程项目经理资格要求：同时具备下列① 、② 、③要求：</w:t>
            </w:r>
          </w:p>
          <w:p w14:paraId="41F1AE6C">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①具有建筑工程专业一级注册建造师执业资格；</w:t>
            </w:r>
          </w:p>
          <w:p w14:paraId="4B88DD58">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②取得建设行政主管部门颁发的安全生产考核合格(B类)证书；</w:t>
            </w:r>
          </w:p>
          <w:p w14:paraId="426BDA0A">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③响应文件提交截止日未在其他项目担任项目经理，或虽在其他项目上担任项目经理岗位，但承诺在本项目成交后合同签订前能够从其他项目变更至本项目并全面履约。</w:t>
            </w:r>
          </w:p>
          <w:p w14:paraId="3738F937">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注：</w:t>
            </w:r>
          </w:p>
          <w:p w14:paraId="2C8743A7">
            <w:pPr>
              <w:keepNext w:val="0"/>
              <w:keepLines w:val="0"/>
              <w:suppressLineNumbers w:val="0"/>
              <w:spacing w:before="0" w:beforeAutospacing="0" w:after="0" w:afterAutospacing="0" w:line="360" w:lineRule="auto"/>
              <w:ind w:left="0" w:right="0"/>
              <w:outlineLvl w:val="9"/>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1.存在已任或拟任（含公示期内的第一成交候选人）项目经理，拟派本项目中担任项目经理的，应保证成交后能够到本项目任职，须在响应文件中提供相应发包人出具的证明和核查联系方式，未提供的，一经发现，其响应文件将被否决，已成交的取消成交资格。</w:t>
            </w:r>
          </w:p>
          <w:p w14:paraId="149D4E64">
            <w:pPr>
              <w:keepNext w:val="0"/>
              <w:keepLines w:val="0"/>
              <w:suppressLineNumbers w:val="0"/>
              <w:spacing w:before="0" w:beforeAutospacing="0" w:after="0" w:afterAutospacing="0" w:line="360" w:lineRule="auto"/>
              <w:ind w:left="0" w:right="0"/>
              <w:outlineLvl w:val="9"/>
              <w:rPr>
                <w:rFonts w:hint="eastAsia"/>
                <w:szCs w:val="21"/>
                <w:highlight w:val="none"/>
              </w:rPr>
            </w:pP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2.响应文件中提供项目经理相关证书、承诺及磋商响应截止时间前三个月内任意一个月供应商（或供应商不具备独立法人资格的分支机构）所属社保机构为其缴纳的社保缴费证明（或其他能够证明其参加社保的有效证明材料）复印件或影印件或 扫描件，社保证明材料中至少能够体现养老保险。</w:t>
            </w:r>
          </w:p>
        </w:tc>
      </w:tr>
      <w:tr w14:paraId="25F9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F5B75A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仿宋_GB2312"/>
                <w:kern w:val="2"/>
                <w:sz w:val="21"/>
                <w:szCs w:val="21"/>
                <w:highlight w:val="none"/>
                <w:lang w:val="en-US" w:eastAsia="zh-CN" w:bidi="ar"/>
              </w:rPr>
            </w:pPr>
            <w:r>
              <w:rPr>
                <w:rFonts w:hint="eastAsia" w:ascii="宋体" w:hAnsi="宋体" w:cs="@仿宋_GB2312"/>
                <w:kern w:val="2"/>
                <w:sz w:val="21"/>
                <w:szCs w:val="21"/>
                <w:highlight w:val="none"/>
                <w:lang w:val="en-US" w:eastAsia="zh-CN" w:bidi="ar"/>
              </w:rPr>
              <w:t>6</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391F6C0A">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bCs w:val="0"/>
                <w:kern w:val="2"/>
                <w:sz w:val="21"/>
                <w:szCs w:val="21"/>
                <w:highlight w:val="none"/>
                <w:lang w:val="en-US" w:eastAsia="zh-CN" w:bidi="ar"/>
              </w:rPr>
            </w:pPr>
            <w:r>
              <w:rPr>
                <w:rFonts w:hint="eastAsia" w:ascii="宋体" w:hAnsi="宋体" w:cs="宋体"/>
                <w:b w:val="0"/>
                <w:bCs w:val="0"/>
                <w:kern w:val="2"/>
                <w:sz w:val="21"/>
                <w:szCs w:val="21"/>
                <w:highlight w:val="none"/>
                <w:lang w:val="en-US" w:eastAsia="zh-CN" w:bidi="ar"/>
              </w:rPr>
              <w:t>项目技术负责人</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229A1528">
            <w:pPr>
              <w:keepNext w:val="0"/>
              <w:keepLines w:val="0"/>
              <w:suppressLineNumbers w:val="0"/>
              <w:spacing w:before="0" w:beforeAutospacing="0" w:after="0" w:afterAutospacing="0" w:line="360" w:lineRule="auto"/>
              <w:ind w:left="0" w:right="0"/>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拟派本项目技术负责人</w:t>
            </w:r>
            <w:r>
              <w:rPr>
                <w:rFonts w:hint="eastAsia" w:ascii="宋体" w:hAnsi="宋体" w:eastAsia="宋体" w:cs="宋体"/>
                <w:b w:val="0"/>
                <w:bCs w:val="0"/>
                <w:color w:val="auto"/>
                <w:sz w:val="21"/>
                <w:szCs w:val="21"/>
                <w:highlight w:val="none"/>
                <w:lang w:val="en-US" w:eastAsia="zh-CN"/>
              </w:rPr>
              <w:t>技术职称为</w:t>
            </w:r>
            <w:r>
              <w:rPr>
                <w:rFonts w:hint="eastAsia" w:ascii="宋体" w:hAnsi="宋体" w:cs="宋体"/>
                <w:b w:val="0"/>
                <w:bCs w:val="0"/>
                <w:color w:val="auto"/>
                <w:sz w:val="21"/>
                <w:szCs w:val="21"/>
                <w:highlight w:val="none"/>
                <w:lang w:val="en-US" w:eastAsia="zh-CN"/>
              </w:rPr>
              <w:t>建筑工程</w:t>
            </w:r>
            <w:r>
              <w:rPr>
                <w:rFonts w:hint="eastAsia" w:ascii="宋体" w:hAnsi="宋体" w:eastAsia="宋体" w:cs="宋体"/>
                <w:b w:val="0"/>
                <w:bCs w:val="0"/>
                <w:color w:val="auto"/>
                <w:sz w:val="21"/>
                <w:szCs w:val="21"/>
                <w:highlight w:val="none"/>
                <w:lang w:val="en-US" w:eastAsia="zh-CN"/>
              </w:rPr>
              <w:t>相关专业中级工程师及以上。注：</w:t>
            </w:r>
            <w:r>
              <w:rPr>
                <w:rFonts w:hint="eastAsia" w:ascii="宋体" w:hAnsi="宋体" w:cs="宋体"/>
                <w:b w:val="0"/>
                <w:bCs w:val="0"/>
                <w:color w:val="auto"/>
                <w:sz w:val="21"/>
                <w:szCs w:val="21"/>
                <w:highlight w:val="none"/>
                <w:lang w:val="en-US" w:eastAsia="zh-CN"/>
              </w:rPr>
              <w:t>1、</w:t>
            </w:r>
            <w: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rPr>
              <w:t>响应文件中提供技术负责人相关证书及磋商响应截止时间前三个月内任意一个月供应商（或供应商不具备独立法人资格的分支机构）所属社保机构为其缴纳的社保缴费证明（或其他能够证明其参加社保的有效证明材料）复印件或影印件或扫描件，社保证明材料中至少能够体现养老保险。</w:t>
            </w:r>
          </w:p>
          <w:p w14:paraId="74276D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default"/>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2、建筑工程相关专业包括：建筑、结构、给排水、暖通 、电气等专业；如供应商提供的职称证书未体现专业，则须提供毕业证书或工程建设类注册资格证书证明，否则不予认可。</w:t>
            </w:r>
          </w:p>
        </w:tc>
      </w:tr>
      <w:tr w14:paraId="0570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5F640254">
            <w:pPr>
              <w:keepNext w:val="0"/>
              <w:keepLines w:val="0"/>
              <w:widowControl w:val="0"/>
              <w:suppressLineNumbers w:val="0"/>
              <w:spacing w:before="0" w:beforeAutospacing="0" w:after="0" w:afterAutospacing="0" w:line="360" w:lineRule="auto"/>
              <w:ind w:left="0" w:right="0"/>
              <w:jc w:val="center"/>
              <w:rPr>
                <w:rFonts w:hint="eastAsia" w:ascii="宋体" w:hAnsi="宋体" w:cs="@仿宋_GB2312"/>
                <w:kern w:val="2"/>
                <w:sz w:val="21"/>
                <w:szCs w:val="21"/>
                <w:highlight w:val="none"/>
                <w:lang w:val="en-US" w:eastAsia="zh-CN" w:bidi="ar"/>
              </w:rPr>
            </w:pPr>
            <w:r>
              <w:rPr>
                <w:rFonts w:hint="eastAsia" w:ascii="宋体" w:hAnsi="宋体" w:cs="@仿宋_GB2312"/>
                <w:kern w:val="2"/>
                <w:sz w:val="21"/>
                <w:szCs w:val="21"/>
                <w:highlight w:val="none"/>
                <w:lang w:val="en-US" w:eastAsia="zh-CN" w:bidi="ar"/>
              </w:rPr>
              <w:t>7</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B3C294B">
            <w:pPr>
              <w:keepNext w:val="0"/>
              <w:keepLines w:val="0"/>
              <w:widowControl w:val="0"/>
              <w:suppressLineNumbers w:val="0"/>
              <w:spacing w:before="0" w:beforeAutospacing="0" w:after="0" w:afterAutospacing="0" w:line="360" w:lineRule="auto"/>
              <w:ind w:left="0" w:right="0"/>
              <w:jc w:val="center"/>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其他人员要求</w:t>
            </w:r>
          </w:p>
        </w:tc>
        <w:tc>
          <w:tcPr>
            <w:tcW w:w="6856" w:type="dxa"/>
            <w:tcBorders>
              <w:top w:val="single" w:color="auto" w:sz="4" w:space="0"/>
              <w:left w:val="single" w:color="auto" w:sz="4" w:space="0"/>
              <w:bottom w:val="single" w:color="auto" w:sz="4" w:space="0"/>
              <w:right w:val="single" w:color="auto" w:sz="4" w:space="0"/>
            </w:tcBorders>
            <w:shd w:val="clear" w:color="auto" w:fill="auto"/>
            <w:vAlign w:val="center"/>
          </w:tcPr>
          <w:p w14:paraId="2CA96C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（1）</w:t>
            </w:r>
            <w:r>
              <w:rPr>
                <w:rFonts w:hint="eastAsia" w:ascii="宋体" w:hAnsi="宋体" w:eastAsia="宋体" w:cs="@仿宋_GB2312"/>
                <w:color w:val="auto"/>
                <w:kern w:val="2"/>
                <w:sz w:val="21"/>
                <w:szCs w:val="21"/>
                <w:highlight w:val="none"/>
                <w:lang w:val="en-US" w:eastAsia="zh-CN" w:bidi="ar"/>
              </w:rPr>
              <w:t>专职安全员</w:t>
            </w:r>
            <w:r>
              <w:rPr>
                <w:rFonts w:hint="eastAsia" w:ascii="宋体" w:hAnsi="宋体" w:cs="@仿宋_GB2312"/>
                <w:color w:val="auto"/>
                <w:kern w:val="2"/>
                <w:sz w:val="21"/>
                <w:szCs w:val="21"/>
                <w:highlight w:val="none"/>
                <w:lang w:val="en-US" w:eastAsia="zh-CN" w:bidi="ar"/>
              </w:rPr>
              <w:t>（不少于2名）：成交</w:t>
            </w:r>
            <w:r>
              <w:rPr>
                <w:rFonts w:hint="eastAsia" w:ascii="宋体" w:hAnsi="宋体" w:eastAsia="宋体" w:cs="@仿宋_GB2312"/>
                <w:color w:val="auto"/>
                <w:kern w:val="2"/>
                <w:sz w:val="21"/>
                <w:szCs w:val="21"/>
                <w:highlight w:val="none"/>
                <w:lang w:val="en-US" w:eastAsia="zh-CN" w:bidi="ar"/>
              </w:rPr>
              <w:t>后签订合同时提供岗位证书，持证上岗并按照规定执行安全生产检查记录仪制度和施工安全日志制度；</w:t>
            </w:r>
          </w:p>
          <w:p w14:paraId="75ED94D1">
            <w:pPr>
              <w:keepNext w:val="0"/>
              <w:keepLines w:val="0"/>
              <w:widowControl w:val="0"/>
              <w:suppressLineNumbers w:val="0"/>
              <w:spacing w:before="0" w:beforeAutospacing="0" w:after="0" w:afterAutospacing="0" w:line="360" w:lineRule="auto"/>
              <w:ind w:left="0" w:right="0"/>
              <w:jc w:val="both"/>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（2）施工员（不少于2名）：合同签订前提供施工员岗位证书。</w:t>
            </w:r>
          </w:p>
          <w:p w14:paraId="6AFBC1B1">
            <w:pPr>
              <w:keepNext w:val="0"/>
              <w:keepLines w:val="0"/>
              <w:widowControl w:val="0"/>
              <w:suppressLineNumbers w:val="0"/>
              <w:spacing w:before="0" w:beforeAutospacing="0" w:after="0" w:afterAutospacing="0" w:line="360" w:lineRule="auto"/>
              <w:ind w:left="0" w:right="0"/>
              <w:jc w:val="both"/>
              <w:rPr>
                <w:rFonts w:hint="default" w:ascii="宋体" w:hAnsi="宋体" w:cs="@仿宋_GB2312"/>
                <w:color w:val="auto"/>
                <w:kern w:val="2"/>
                <w:sz w:val="21"/>
                <w:szCs w:val="21"/>
                <w:highlight w:val="none"/>
                <w:lang w:val="en-US" w:eastAsia="zh-CN" w:bidi="ar"/>
              </w:rPr>
            </w:pPr>
            <w:r>
              <w:rPr>
                <w:rFonts w:hint="default" w:ascii="宋体" w:hAnsi="宋体" w:cs="@仿宋_GB2312"/>
                <w:color w:val="auto"/>
                <w:kern w:val="2"/>
                <w:sz w:val="21"/>
                <w:szCs w:val="21"/>
                <w:highlight w:val="none"/>
                <w:lang w:val="en-US" w:eastAsia="zh-CN" w:bidi="ar"/>
              </w:rPr>
              <w:t>（</w:t>
            </w:r>
            <w:r>
              <w:rPr>
                <w:rFonts w:hint="eastAsia" w:ascii="宋体" w:hAnsi="宋体" w:cs="@仿宋_GB2312"/>
                <w:color w:val="auto"/>
                <w:kern w:val="2"/>
                <w:sz w:val="21"/>
                <w:szCs w:val="21"/>
                <w:highlight w:val="none"/>
                <w:lang w:val="en-US" w:eastAsia="zh-CN" w:bidi="ar"/>
              </w:rPr>
              <w:t>3</w:t>
            </w:r>
            <w:r>
              <w:rPr>
                <w:rFonts w:hint="default" w:ascii="宋体" w:hAnsi="宋体" w:cs="@仿宋_GB2312"/>
                <w:color w:val="auto"/>
                <w:kern w:val="2"/>
                <w:sz w:val="21"/>
                <w:szCs w:val="21"/>
                <w:highlight w:val="none"/>
                <w:lang w:val="en-US" w:eastAsia="zh-CN" w:bidi="ar"/>
              </w:rPr>
              <w:t>）</w:t>
            </w:r>
            <w:r>
              <w:rPr>
                <w:rFonts w:hint="eastAsia" w:ascii="宋体" w:hAnsi="宋体" w:cs="@仿宋_GB2312"/>
                <w:color w:val="auto"/>
                <w:kern w:val="2"/>
                <w:sz w:val="21"/>
                <w:szCs w:val="21"/>
                <w:highlight w:val="none"/>
                <w:lang w:val="en-US" w:eastAsia="zh-CN" w:bidi="ar"/>
              </w:rPr>
              <w:t>质量员（不少于1名）</w:t>
            </w:r>
            <w:r>
              <w:rPr>
                <w:rFonts w:hint="default" w:ascii="宋体" w:hAnsi="宋体" w:cs="@仿宋_GB2312"/>
                <w:color w:val="auto"/>
                <w:kern w:val="2"/>
                <w:sz w:val="21"/>
                <w:szCs w:val="21"/>
                <w:highlight w:val="none"/>
                <w:lang w:val="en-US" w:eastAsia="zh-CN" w:bidi="ar"/>
              </w:rPr>
              <w:t>：</w:t>
            </w:r>
            <w:r>
              <w:rPr>
                <w:rFonts w:hint="eastAsia" w:ascii="宋体" w:hAnsi="宋体" w:cs="@仿宋_GB2312"/>
                <w:color w:val="auto"/>
                <w:kern w:val="2"/>
                <w:sz w:val="21"/>
                <w:szCs w:val="21"/>
                <w:highlight w:val="none"/>
                <w:lang w:val="en-US" w:eastAsia="zh-CN" w:bidi="ar"/>
              </w:rPr>
              <w:t>合同签订前提供</w:t>
            </w:r>
            <w:r>
              <w:rPr>
                <w:rFonts w:hint="default" w:ascii="宋体" w:hAnsi="宋体" w:cs="@仿宋_GB2312"/>
                <w:color w:val="auto"/>
                <w:kern w:val="2"/>
                <w:sz w:val="21"/>
                <w:szCs w:val="21"/>
                <w:highlight w:val="none"/>
                <w:lang w:val="en-US" w:eastAsia="zh-CN" w:bidi="ar"/>
              </w:rPr>
              <w:t>质量</w:t>
            </w:r>
            <w:r>
              <w:rPr>
                <w:rFonts w:hint="eastAsia" w:ascii="宋体" w:hAnsi="宋体" w:cs="@仿宋_GB2312"/>
                <w:color w:val="auto"/>
                <w:kern w:val="2"/>
                <w:sz w:val="21"/>
                <w:szCs w:val="21"/>
                <w:highlight w:val="none"/>
                <w:lang w:val="en-US" w:eastAsia="zh-CN" w:bidi="ar"/>
              </w:rPr>
              <w:t>员岗位证书。</w:t>
            </w:r>
          </w:p>
          <w:p w14:paraId="78C23C9E">
            <w:pPr>
              <w:keepNext w:val="0"/>
              <w:keepLines w:val="0"/>
              <w:widowControl w:val="0"/>
              <w:suppressLineNumbers w:val="0"/>
              <w:spacing w:before="0" w:beforeAutospacing="0" w:after="0" w:afterAutospacing="0" w:line="360" w:lineRule="auto"/>
              <w:ind w:left="0" w:right="0"/>
              <w:jc w:val="left"/>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成交后收到采购人通知15天内，以上人员应转注册到采购人公司、驻场及项目打卡（如有需要），供应商承担其相应费用（工资及社保等其他费用）。</w:t>
            </w:r>
          </w:p>
          <w:p w14:paraId="19DEADE5">
            <w:pPr>
              <w:keepNext w:val="0"/>
              <w:keepLines w:val="0"/>
              <w:widowControl w:val="0"/>
              <w:suppressLineNumbers w:val="0"/>
              <w:spacing w:before="0" w:beforeAutospacing="0" w:after="0" w:afterAutospacing="0" w:line="360" w:lineRule="auto"/>
              <w:ind w:left="0" w:right="0"/>
              <w:jc w:val="left"/>
              <w:rPr>
                <w:rFonts w:hint="eastAsia" w:ascii="宋体" w:hAnsi="宋体" w:cs="@仿宋_GB2312"/>
                <w:color w:val="auto"/>
                <w:kern w:val="2"/>
                <w:sz w:val="21"/>
                <w:szCs w:val="21"/>
                <w:highlight w:val="none"/>
                <w:lang w:val="en-US" w:eastAsia="zh-CN" w:bidi="ar"/>
              </w:rPr>
            </w:pPr>
            <w:r>
              <w:rPr>
                <w:rFonts w:hint="eastAsia" w:ascii="宋体" w:hAnsi="宋体" w:cs="@仿宋_GB2312"/>
                <w:color w:val="auto"/>
                <w:kern w:val="2"/>
                <w:sz w:val="21"/>
                <w:szCs w:val="21"/>
                <w:highlight w:val="none"/>
                <w:lang w:val="en-US" w:eastAsia="zh-CN" w:bidi="ar"/>
              </w:rPr>
              <w:t>成交人在开工前组建的施工项目管理机构，要符合行政主管部门及安徽省相关标准规定。</w:t>
            </w:r>
          </w:p>
        </w:tc>
      </w:tr>
      <w:tr w14:paraId="0EE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341C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15BE0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工程造价</w:t>
            </w:r>
          </w:p>
          <w:p w14:paraId="25138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的确定与</w:t>
            </w:r>
          </w:p>
          <w:p w14:paraId="26029D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控制</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1CEC38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（1）本项目合同价格形式为固定费率：最终结算价以甲方、建设单位或其委托的第三方审核机构最终审定的最高投标限价（不下浮）乘以</w:t>
            </w:r>
            <w:r>
              <w:rPr>
                <w:rFonts w:hint="eastAsia" w:ascii="宋体" w:hAnsi="宋体" w:cs="宋体"/>
                <w:b w:val="0"/>
                <w:bCs w:val="0"/>
                <w:color w:val="auto"/>
                <w:sz w:val="21"/>
                <w:szCs w:val="21"/>
                <w:highlight w:val="none"/>
                <w:lang w:val="en-US" w:eastAsia="zh-CN"/>
              </w:rPr>
              <w:t>成交人成交</w:t>
            </w:r>
            <w:r>
              <w:rPr>
                <w:rFonts w:hint="eastAsia" w:ascii="宋体" w:hAnsi="宋体" w:eastAsia="宋体" w:cs="宋体"/>
                <w:b w:val="0"/>
                <w:bCs w:val="0"/>
                <w:color w:val="auto"/>
                <w:sz w:val="21"/>
                <w:szCs w:val="21"/>
                <w:highlight w:val="none"/>
                <w:lang w:val="en-US" w:eastAsia="zh-CN"/>
              </w:rPr>
              <w:t>费率再减去应扣除的相关费用予以结算。本工程确定</w:t>
            </w:r>
            <w:r>
              <w:rPr>
                <w:rFonts w:hint="eastAsia" w:ascii="宋体" w:hAnsi="宋体" w:cs="宋体"/>
                <w:b w:val="0"/>
                <w:bCs w:val="0"/>
                <w:color w:val="auto"/>
                <w:sz w:val="21"/>
                <w:szCs w:val="21"/>
                <w:highlight w:val="none"/>
                <w:lang w:val="en-US" w:eastAsia="zh-CN"/>
              </w:rPr>
              <w:t>成交人</w:t>
            </w:r>
            <w:r>
              <w:rPr>
                <w:rFonts w:hint="eastAsia" w:ascii="宋体" w:hAnsi="宋体" w:eastAsia="宋体" w:cs="宋体"/>
                <w:b w:val="0"/>
                <w:bCs w:val="0"/>
                <w:color w:val="auto"/>
                <w:sz w:val="21"/>
                <w:szCs w:val="21"/>
                <w:highlight w:val="none"/>
                <w:lang w:val="en-US" w:eastAsia="zh-CN"/>
              </w:rPr>
              <w:t>后，工程总造价在磋商范围内包定，除经批准的设计变更、经济签证外，其它不得调整。</w:t>
            </w:r>
          </w:p>
          <w:p w14:paraId="5D80F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（2）磋商前，供应商应认真对照施工设计图纸等文件，必须在询问截止时间前向采购人提出疑问，否则采购人可不予答复。</w:t>
            </w:r>
          </w:p>
        </w:tc>
      </w:tr>
      <w:tr w14:paraId="223F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66982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B0D86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安全生产</w:t>
            </w:r>
          </w:p>
        </w:tc>
        <w:tc>
          <w:tcPr>
            <w:tcW w:w="6856" w:type="dxa"/>
            <w:tcBorders>
              <w:top w:val="single" w:color="auto" w:sz="4" w:space="0"/>
              <w:left w:val="single" w:color="auto" w:sz="4" w:space="0"/>
              <w:bottom w:val="single" w:color="auto" w:sz="4" w:space="0"/>
              <w:right w:val="single" w:color="auto" w:sz="4" w:space="0"/>
            </w:tcBorders>
            <w:shd w:val="clear" w:color="auto" w:fill="auto"/>
            <w:vAlign w:val="center"/>
          </w:tcPr>
          <w:p w14:paraId="76754E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A4E64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tc>
      </w:tr>
      <w:tr w14:paraId="2DB6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6A686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5A407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扬尘污染防治</w:t>
            </w:r>
          </w:p>
        </w:tc>
        <w:tc>
          <w:tcPr>
            <w:tcW w:w="6856" w:type="dxa"/>
            <w:tcBorders>
              <w:top w:val="single" w:color="auto" w:sz="4" w:space="0"/>
              <w:left w:val="single" w:color="auto" w:sz="4" w:space="0"/>
              <w:bottom w:val="single" w:color="auto" w:sz="4" w:space="0"/>
              <w:right w:val="single" w:color="auto" w:sz="4" w:space="0"/>
            </w:tcBorders>
            <w:shd w:val="clear" w:color="auto" w:fill="auto"/>
            <w:vAlign w:val="center"/>
          </w:tcPr>
          <w:p w14:paraId="2CE4EC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最高磋商限价已计扬尘污染防治费，成交供应商应按照建筑工程施工扬尘污染防治相关规定做好扬尘污染防治工作，重点做好现场工地围挡、车辆冲洗、道路和堆场硬化、裸土覆盖（绿化）等抑尘降尘措施。</w:t>
            </w:r>
          </w:p>
        </w:tc>
      </w:tr>
      <w:tr w14:paraId="28DE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4D2410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3768E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农民工工资要求</w:t>
            </w:r>
          </w:p>
        </w:tc>
        <w:tc>
          <w:tcPr>
            <w:tcW w:w="6856" w:type="dxa"/>
            <w:tcBorders>
              <w:top w:val="single" w:color="auto" w:sz="4" w:space="0"/>
              <w:left w:val="single" w:color="auto" w:sz="4" w:space="0"/>
              <w:bottom w:val="single" w:color="auto" w:sz="4" w:space="0"/>
              <w:right w:val="single" w:color="auto" w:sz="4" w:space="0"/>
            </w:tcBorders>
            <w:shd w:val="clear" w:color="auto" w:fill="auto"/>
            <w:vAlign w:val="center"/>
          </w:tcPr>
          <w:p w14:paraId="50FE84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供应商一旦</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14:paraId="3A262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成交供应商要按照《安徽省工程建设领域农民工工资保证金实施办法》（皖人社发〔2022〕8号）等文件要求，缴纳农民工工资保证金，支持采用银行保函、担保保函、保证保险等方式缴纳。</w:t>
            </w:r>
          </w:p>
        </w:tc>
      </w:tr>
      <w:tr w14:paraId="1FB8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1582B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8D73C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2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工程量清单及最高投标限价编制费用</w:t>
            </w:r>
          </w:p>
        </w:tc>
        <w:tc>
          <w:tcPr>
            <w:tcW w:w="6856" w:type="dxa"/>
            <w:tcBorders>
              <w:top w:val="single" w:color="auto" w:sz="4" w:space="0"/>
              <w:left w:val="single" w:color="auto" w:sz="4" w:space="0"/>
              <w:bottom w:val="single" w:color="auto" w:sz="4" w:space="0"/>
              <w:right w:val="single" w:color="auto" w:sz="4" w:space="0"/>
            </w:tcBorders>
            <w:shd w:val="clear" w:color="auto" w:fill="auto"/>
            <w:vAlign w:val="center"/>
          </w:tcPr>
          <w:p w14:paraId="6D757A15">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2"/>
                <w:sz w:val="21"/>
                <w:szCs w:val="21"/>
                <w:highlight w:val="none"/>
                <w:lang w:val="en-US" w:eastAsia="zh-CN"/>
              </w:rPr>
              <w:t>本项目在项目实施中采购人将委托造价咨询单位编制工程量清单及最高投标限价，工程量清单和最高投标限价编制费：以最高投标限价乘以（1-0.1153）*1.65‰计取，该费用由成交人支付给编制单位</w:t>
            </w:r>
          </w:p>
        </w:tc>
      </w:tr>
      <w:tr w14:paraId="69DB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60130A5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仿宋_GB2312"/>
                <w:kern w:val="2"/>
                <w:sz w:val="21"/>
                <w:szCs w:val="21"/>
                <w:highlight w:val="none"/>
                <w:lang w:val="en-US"/>
              </w:rPr>
            </w:pPr>
            <w:r>
              <w:rPr>
                <w:rFonts w:hint="eastAsia" w:ascii="宋体" w:hAnsi="宋体" w:cs="宋体"/>
                <w:kern w:val="2"/>
                <w:sz w:val="21"/>
                <w:szCs w:val="21"/>
                <w:highlight w:val="none"/>
                <w:lang w:val="en-US" w:eastAsia="zh-CN" w:bidi="ar"/>
              </w:rPr>
              <w:t>14</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5693F84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服务地点</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4C3194ED">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宋体"/>
                <w:kern w:val="2"/>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rPr>
              <w:t xml:space="preserve">安庆市经开区圆梦新区安风路与长风沙路交叉口东北侧 </w:t>
            </w:r>
          </w:p>
        </w:tc>
      </w:tr>
      <w:tr w14:paraId="315D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19A0066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15</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391BFAA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质量要求</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71ED1BE9">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合格</w:t>
            </w:r>
          </w:p>
        </w:tc>
      </w:tr>
      <w:tr w14:paraId="5D31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61" w:type="pct"/>
            <w:tcBorders>
              <w:top w:val="single" w:color="auto" w:sz="4" w:space="0"/>
              <w:left w:val="single" w:color="auto" w:sz="4" w:space="0"/>
              <w:bottom w:val="single" w:color="auto" w:sz="4" w:space="0"/>
              <w:right w:val="single" w:color="auto" w:sz="4" w:space="0"/>
            </w:tcBorders>
            <w:shd w:val="clear" w:color="auto" w:fill="auto"/>
            <w:vAlign w:val="center"/>
          </w:tcPr>
          <w:p w14:paraId="31E35A47">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16</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14:paraId="7C9EF65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缺陷责任期</w:t>
            </w:r>
          </w:p>
        </w:tc>
        <w:tc>
          <w:tcPr>
            <w:tcW w:w="3691" w:type="pct"/>
            <w:tcBorders>
              <w:top w:val="single" w:color="auto" w:sz="4" w:space="0"/>
              <w:left w:val="single" w:color="auto" w:sz="4" w:space="0"/>
              <w:bottom w:val="single" w:color="auto" w:sz="4" w:space="0"/>
              <w:right w:val="single" w:color="auto" w:sz="4" w:space="0"/>
            </w:tcBorders>
            <w:shd w:val="clear" w:color="auto" w:fill="auto"/>
            <w:vAlign w:val="center"/>
          </w:tcPr>
          <w:p w14:paraId="6DAD490B">
            <w:pPr>
              <w:keepNext w:val="0"/>
              <w:keepLines w:val="0"/>
              <w:widowControl w:val="0"/>
              <w:suppressLineNumbers w:val="0"/>
              <w:spacing w:before="0" w:beforeAutospacing="0" w:after="0" w:afterAutospacing="0" w:line="360" w:lineRule="auto"/>
              <w:ind w:left="0" w:leftChars="0" w:right="0" w:rightChars="0"/>
              <w:jc w:val="left"/>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24个月</w:t>
            </w:r>
          </w:p>
        </w:tc>
      </w:tr>
    </w:tbl>
    <w:p w14:paraId="5972FD05">
      <w:pPr>
        <w:pStyle w:val="6"/>
        <w:pageBreakBefore w:val="0"/>
        <w:numPr>
          <w:ilvl w:val="0"/>
          <w:numId w:val="0"/>
        </w:numPr>
        <w:kinsoku/>
        <w:overflowPunct/>
        <w:topLinePunct w:val="0"/>
        <w:bidi w:val="0"/>
        <w:adjustRightInd w:val="0"/>
        <w:snapToGrid w:val="0"/>
        <w:spacing w:line="420" w:lineRule="exact"/>
        <w:ind w:leftChars="0"/>
        <w:jc w:val="both"/>
        <w:outlineLvl w:val="0"/>
        <w:rPr>
          <w:rFonts w:hint="default" w:ascii="宋体" w:hAnsi="宋体" w:cs="宋体"/>
          <w:b/>
          <w:bCs w:val="0"/>
          <w:color w:val="auto"/>
          <w:sz w:val="32"/>
          <w:szCs w:val="32"/>
          <w:highlight w:val="none"/>
          <w:lang w:val="en-US" w:eastAsia="zh-CN"/>
        </w:rPr>
      </w:pPr>
    </w:p>
    <w:p w14:paraId="3B00589B">
      <w:pPr>
        <w:rPr>
          <w:rFonts w:hint="eastAsia" w:ascii="宋体" w:hAnsi="宋体" w:eastAsia="宋体" w:cs="宋体"/>
          <w:color w:val="auto"/>
          <w:kern w:val="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23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正文 New"/>
    <w:basedOn w:val="1"/>
    <w:autoRedefine/>
    <w:qFormat/>
    <w:uiPriority w:val="0"/>
    <w:pPr>
      <w:spacing w:before="100" w:beforeAutospacing="1" w:after="100" w:afterAutospacing="1" w:line="440" w:lineRule="exact"/>
      <w:ind w:left="357" w:hanging="357"/>
    </w:pPr>
    <w:rPr>
      <w:szCs w:val="21"/>
    </w:rPr>
  </w:style>
  <w:style w:type="table" w:customStyle="1" w:styleId="7">
    <w:name w:val="网格型2"/>
    <w:basedOn w:val="4"/>
    <w:qFormat/>
    <w:uiPriority w:val="0"/>
    <w:pPr>
      <w:keepNext w:val="0"/>
      <w:keepLines w:val="0"/>
      <w:widowControl/>
      <w:suppressLineNumbers w:val="0"/>
      <w:spacing w:before="0" w:beforeAutospacing="0" w:after="0" w:afterAutospacing="0"/>
      <w:ind w:left="0" w:right="0"/>
    </w:pPr>
    <w:rPr>
      <w:rFonts w:hint="default" w:ascii="Calibri" w:hAnsi="Calibri" w:eastAsia="宋体" w:cs="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2026-02-12T07:15:31Z</dcterms:created>
  <dc:creator>Administrator</dc:creator>
  <cp:lastModifiedBy>调皮あ小女</cp:lastModifiedBy>
  <dcterms:modified xsi:type="dcterms:W3CDTF">2026-02-12T07:16:34Z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eyJoZGlkIjoiYjczYTgwN2ZhODJjZTI2NGE3MDczZjBmYzdjNjcwODgiLCJ1c2VySWQiOiI5MzU5OTM5MDYifQ==</vt:lpwstr>
  </property>
  <property fmtid="{D5CDD505-2E9C-101B-9397-08002B2CF9AE}" pid="4" name="ICV">
    <vt:lpwstr>5988D10FCB324B6BB44EA225A81E3E25_12</vt:lpwstr>
  </property>
</Properties>
</file>